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2"/>
      </w:tblGrid>
      <w:tr w:rsidR="00023803" w:rsidRPr="006159BE" w14:paraId="4C9F4F5B" w14:textId="77777777" w:rsidTr="009610C2">
        <w:trPr>
          <w:trHeight w:val="5159"/>
        </w:trPr>
        <w:tc>
          <w:tcPr>
            <w:tcW w:w="10628" w:type="dxa"/>
            <w:shd w:val="clear" w:color="auto" w:fill="76AD1C"/>
          </w:tcPr>
          <w:p w14:paraId="7B0D69C3" w14:textId="77777777" w:rsidR="00023803" w:rsidRPr="006159BE" w:rsidRDefault="00023803" w:rsidP="009610C2">
            <w:pPr>
              <w:rPr>
                <w:sz w:val="24"/>
                <w:szCs w:val="24"/>
              </w:rPr>
            </w:pPr>
            <w:r w:rsidRPr="006159BE">
              <w:rPr>
                <w:noProof/>
                <w:sz w:val="24"/>
                <w:szCs w:val="24"/>
                <w:lang w:eastAsia="fr-BE"/>
              </w:rPr>
              <mc:AlternateContent>
                <mc:Choice Requires="wps">
                  <w:drawing>
                    <wp:anchor distT="0" distB="0" distL="114300" distR="114300" simplePos="0" relativeHeight="251660288" behindDoc="0" locked="0" layoutInCell="1" allowOverlap="1" wp14:anchorId="2B1E9408" wp14:editId="4F21BA0B">
                      <wp:simplePos x="0" y="0"/>
                      <wp:positionH relativeFrom="column">
                        <wp:posOffset>1146021</wp:posOffset>
                      </wp:positionH>
                      <wp:positionV relativeFrom="paragraph">
                        <wp:posOffset>739034</wp:posOffset>
                      </wp:positionV>
                      <wp:extent cx="4778136" cy="401701"/>
                      <wp:effectExtent l="0" t="0" r="3810" b="17780"/>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78136" cy="401701"/>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txbx>
                              <w:txbxContent>
                                <w:p w14:paraId="6D0FE5DA" w14:textId="77777777" w:rsidR="00023803" w:rsidRDefault="00023803" w:rsidP="00023803">
                                  <w:pPr>
                                    <w:pStyle w:val="Facen-tte"/>
                                    <w:spacing w:before="80"/>
                                    <w:rPr>
                                      <w:rFonts w:ascii="Arial" w:hAnsi="Arial" w:cs="Arial"/>
                                      <w:color w:val="FFFFFF" w:themeColor="background1"/>
                                      <w:lang w:val="fr-BE"/>
                                    </w:rPr>
                                  </w:pPr>
                                  <w:r w:rsidRPr="005520EA">
                                    <w:rPr>
                                      <w:rFonts w:ascii="Arial" w:hAnsi="Arial" w:cs="Arial"/>
                                      <w:color w:val="FFFFFF" w:themeColor="background1"/>
                                      <w:lang w:val="fr-BE"/>
                                    </w:rPr>
                                    <w:t xml:space="preserve">Faculté </w:t>
                                  </w:r>
                                  <w:r w:rsidRPr="009815F9">
                                    <w:rPr>
                                      <w:rFonts w:ascii="Arial" w:hAnsi="Arial" w:cs="Arial"/>
                                      <w:color w:val="FFFFFF" w:themeColor="background1"/>
                                      <w:lang w:val="fr-BE"/>
                                    </w:rPr>
                                    <w:t>des sciences économiques, sociales, politiques et de communication (ESPO)</w:t>
                                  </w:r>
                                </w:p>
                                <w:p w14:paraId="15F1D4E8" w14:textId="77777777" w:rsidR="00023803" w:rsidRPr="005520EA" w:rsidRDefault="00023803" w:rsidP="00023803">
                                  <w:pPr>
                                    <w:pStyle w:val="Facen-tte"/>
                                    <w:spacing w:before="80"/>
                                    <w:rPr>
                                      <w:rFonts w:ascii="Arial" w:hAnsi="Arial" w:cs="Arial"/>
                                      <w:b w:val="0"/>
                                      <w:bCs w:val="0"/>
                                      <w:color w:val="FFFFFF" w:themeColor="background1"/>
                                      <w:lang w:val="fr-BE"/>
                                    </w:rPr>
                                  </w:pPr>
                                  <w:proofErr w:type="spellStart"/>
                                  <w:r>
                                    <w:rPr>
                                      <w:rFonts w:ascii="Arial" w:hAnsi="Arial" w:cs="Arial"/>
                                      <w:color w:val="FFFFFF" w:themeColor="background1"/>
                                      <w:lang w:val="fr-BE"/>
                                    </w:rPr>
                                    <w:t>Ecole</w:t>
                                  </w:r>
                                  <w:proofErr w:type="spellEnd"/>
                                  <w:r>
                                    <w:rPr>
                                      <w:rFonts w:ascii="Arial" w:hAnsi="Arial" w:cs="Arial"/>
                                      <w:color w:val="FFFFFF" w:themeColor="background1"/>
                                      <w:lang w:val="fr-BE"/>
                                    </w:rPr>
                                    <w:t xml:space="preserve"> des Sciences Politiques et Sociales (PSAD)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2B1E9408" id="_x0000_t202" coordsize="21600,21600" o:spt="202" path="m,l,21600r21600,l21600,xe">
                      <v:stroke joinstyle="miter"/>
                      <v:path gradientshapeok="t" o:connecttype="rect"/>
                    </v:shapetype>
                    <v:shape id="Zone de texte 2" o:spid="_x0000_s1026" type="#_x0000_t202" style="position:absolute;margin-left:90.25pt;margin-top:58.2pt;width:376.25pt;height:3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qV3yFQIAADoEAAAOAAAAZHJzL2Uyb0RvYy54bWysU8Fu2zAMvQ/YPwi6L7a7oimMOEXWIsOA&#13;&#10;oC2QDj0rshQbs0WNUmJnXz9KtpOt22nYRX6mSIp8fFzc9W3DjgpdDabg2SzlTBkJZW32Bf/6sv5w&#13;&#10;y5nzwpSiAaMKflKO3y3fv1t0NldXUEFTKmSUxLi8swWvvLd5kjhZqVa4GVhl6FIDtsLTL+6TEkVH&#13;&#10;2dsmuUrTm6QDLC2CVM6R9WG45MuYX2sl/ZPWTnnWFJxq8/HEeO7CmSwXIt+jsFUtxzLEP1TRitrQ&#13;&#10;o+dUD8ILdsD6j1RtLREcaD+T0CagdS1V7IG6ydI33WwrYVXshchx9kyT+39p5eNxa5+R+f4T9DTA&#13;&#10;2ISzG5DfHHGTdNblo0/g1OWOvEOjvcY2fKkFRoHE7enMp+o9k2S8ns9vs483nEm6u06zeZoFwpNL&#13;&#10;tEXnPytoWQAFR5pXrEAcN84PrpNLeMzAum6aOLPG/GagnINFxaGP0ZeCA/L9rqfYAHdQnqhrhEEQ&#13;&#10;zsp1TRVshPPPAkkB1A+p2j/RoRvoCg4j4qwC/PE3e/CnwdAtZx0pquDu+0Gg4qz5YmhkQX4TwAns&#13;&#10;JmAO7T2QSDPaFysjpAD0zQQ1QvtKYl+FV+hKGElvFdxP8N4PuqZlkWq1ik4kMiv8xmytnIYb+Hzp&#13;&#10;XwXakXRP43qESWsif8P94DuQvTp40HUczIXFUSUk0DjacZnCBvz6H70uK7/8CQAA//8DAFBLAwQU&#13;&#10;AAYACAAAACEAhXBG3+QAAAAQAQAADwAAAGRycy9kb3ducmV2LnhtbExPTU/DMAy9I/EfIiNxY8kY&#13;&#10;dGvXdJr4OCFNdOXAMW2yNlrjlCbbyr/HnOBi+dnPz+/lm8n17GzGYD1KmM8EMION1xZbCR/V690K&#13;&#10;WIgKteo9GgnfJsCmuL7KVab9BUtz3seWkQiGTEnoYhwyzkPTGafCzA8GaXfwo1OR4NhyPaoLibue&#13;&#10;3wuRcKcs0odODeapM81xf3IStp9YvtivXf1eHkpbVanAt+Qo5e3N9Lymsl0Di2aKfxfwm4H8Q0HG&#13;&#10;an9CHVhPeCUeiUrNPHkARox0saCINU2W6RJ4kfP/QYofAAAA//8DAFBLAQItABQABgAIAAAAIQC2&#13;&#10;gziS/gAAAOEBAAATAAAAAAAAAAAAAAAAAAAAAABbQ29udGVudF9UeXBlc10ueG1sUEsBAi0AFAAG&#13;&#10;AAgAAAAhADj9If/WAAAAlAEAAAsAAAAAAAAAAAAAAAAALwEAAF9yZWxzLy5yZWxzUEsBAi0AFAAG&#13;&#10;AAgAAAAhAAypXfIVAgAAOgQAAA4AAAAAAAAAAAAAAAAALgIAAGRycy9lMm9Eb2MueG1sUEsBAi0A&#13;&#10;FAAGAAgAAAAhAIVwRt/kAAAAEAEAAA8AAAAAAAAAAAAAAAAAbwQAAGRycy9kb3ducmV2LnhtbFBL&#13;&#10;BQYAAAAABAAEAPMAAACABQAAAAA=&#13;&#10;" filled="f" stroked="f">
                      <v:textbox inset="0,0,0,0">
                        <w:txbxContent>
                          <w:p w14:paraId="6D0FE5DA" w14:textId="77777777" w:rsidR="00023803" w:rsidRDefault="00023803" w:rsidP="00023803">
                            <w:pPr>
                              <w:pStyle w:val="Facen-tte"/>
                              <w:spacing w:before="80"/>
                              <w:rPr>
                                <w:rFonts w:ascii="Arial" w:hAnsi="Arial" w:cs="Arial"/>
                                <w:color w:val="FFFFFF" w:themeColor="background1"/>
                                <w:lang w:val="fr-BE"/>
                              </w:rPr>
                            </w:pPr>
                            <w:r w:rsidRPr="005520EA">
                              <w:rPr>
                                <w:rFonts w:ascii="Arial" w:hAnsi="Arial" w:cs="Arial"/>
                                <w:color w:val="FFFFFF" w:themeColor="background1"/>
                                <w:lang w:val="fr-BE"/>
                              </w:rPr>
                              <w:t xml:space="preserve">Faculté </w:t>
                            </w:r>
                            <w:r w:rsidRPr="009815F9">
                              <w:rPr>
                                <w:rFonts w:ascii="Arial" w:hAnsi="Arial" w:cs="Arial"/>
                                <w:color w:val="FFFFFF" w:themeColor="background1"/>
                                <w:lang w:val="fr-BE"/>
                              </w:rPr>
                              <w:t>des sciences économiques, sociales, politiques et de communication (ESPO)</w:t>
                            </w:r>
                          </w:p>
                          <w:p w14:paraId="15F1D4E8" w14:textId="77777777" w:rsidR="00023803" w:rsidRPr="005520EA" w:rsidRDefault="00023803" w:rsidP="00023803">
                            <w:pPr>
                              <w:pStyle w:val="Facen-tte"/>
                              <w:spacing w:before="80"/>
                              <w:rPr>
                                <w:rFonts w:ascii="Arial" w:hAnsi="Arial" w:cs="Arial"/>
                                <w:b w:val="0"/>
                                <w:bCs w:val="0"/>
                                <w:color w:val="FFFFFF" w:themeColor="background1"/>
                                <w:lang w:val="fr-BE"/>
                              </w:rPr>
                            </w:pPr>
                            <w:proofErr w:type="spellStart"/>
                            <w:r>
                              <w:rPr>
                                <w:rFonts w:ascii="Arial" w:hAnsi="Arial" w:cs="Arial"/>
                                <w:color w:val="FFFFFF" w:themeColor="background1"/>
                                <w:lang w:val="fr-BE"/>
                              </w:rPr>
                              <w:t>Ecole</w:t>
                            </w:r>
                            <w:proofErr w:type="spellEnd"/>
                            <w:r>
                              <w:rPr>
                                <w:rFonts w:ascii="Arial" w:hAnsi="Arial" w:cs="Arial"/>
                                <w:color w:val="FFFFFF" w:themeColor="background1"/>
                                <w:lang w:val="fr-BE"/>
                              </w:rPr>
                              <w:t xml:space="preserve"> des Sciences Politiques et Sociales (PSAD)</w:t>
                            </w:r>
                          </w:p>
                        </w:txbxContent>
                      </v:textbox>
                    </v:shape>
                  </w:pict>
                </mc:Fallback>
              </mc:AlternateContent>
            </w:r>
            <w:r w:rsidRPr="006159BE">
              <w:rPr>
                <w:noProof/>
                <w:sz w:val="24"/>
                <w:szCs w:val="24"/>
                <w:lang w:eastAsia="fr-BE"/>
              </w:rPr>
              <w:drawing>
                <wp:anchor distT="0" distB="0" distL="114300" distR="114300" simplePos="0" relativeHeight="251659264" behindDoc="0" locked="0" layoutInCell="1" allowOverlap="1" wp14:anchorId="5BEB083E" wp14:editId="62A820F7">
                  <wp:simplePos x="0" y="0"/>
                  <wp:positionH relativeFrom="column">
                    <wp:posOffset>226060</wp:posOffset>
                  </wp:positionH>
                  <wp:positionV relativeFrom="paragraph">
                    <wp:posOffset>235585</wp:posOffset>
                  </wp:positionV>
                  <wp:extent cx="628650" cy="869315"/>
                  <wp:effectExtent l="0" t="0" r="0" b="6985"/>
                  <wp:wrapNone/>
                  <wp:docPr id="1" name="Image 1"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descr="Une image contenant texte&#10;&#10;Description générée automatiquement"/>
                          <pic:cNvPicPr/>
                        </pic:nvPicPr>
                        <pic:blipFill>
                          <a:blip r:embed="rId8" cstate="print">
                            <a:extLst>
                              <a:ext uri="{28A0092B-C50C-407E-A947-70E740481C1C}">
                                <a14:useLocalDpi xmlns:a14="http://schemas.microsoft.com/office/drawing/2010/main" val="0"/>
                              </a:ext>
                            </a:extLst>
                          </a:blip>
                          <a:stretch>
                            <a:fillRect/>
                          </a:stretch>
                        </pic:blipFill>
                        <pic:spPr>
                          <a:xfrm>
                            <a:off x="0" y="0"/>
                            <a:ext cx="628650" cy="869315"/>
                          </a:xfrm>
                          <a:prstGeom prst="rect">
                            <a:avLst/>
                          </a:prstGeom>
                        </pic:spPr>
                      </pic:pic>
                    </a:graphicData>
                  </a:graphic>
                  <wp14:sizeRelH relativeFrom="page">
                    <wp14:pctWidth>0</wp14:pctWidth>
                  </wp14:sizeRelH>
                  <wp14:sizeRelV relativeFrom="page">
                    <wp14:pctHeight>0</wp14:pctHeight>
                  </wp14:sizeRelV>
                </wp:anchor>
              </w:drawing>
            </w:r>
          </w:p>
        </w:tc>
      </w:tr>
      <w:tr w:rsidR="00023803" w:rsidRPr="006159BE" w14:paraId="408F9CE1" w14:textId="77777777" w:rsidTr="009610C2">
        <w:trPr>
          <w:trHeight w:val="5046"/>
        </w:trPr>
        <w:tc>
          <w:tcPr>
            <w:tcW w:w="10628" w:type="dxa"/>
          </w:tcPr>
          <w:p w14:paraId="16B43718" w14:textId="77777777" w:rsidR="00023803" w:rsidRPr="006159BE" w:rsidRDefault="00023803" w:rsidP="009610C2">
            <w:pPr>
              <w:rPr>
                <w:sz w:val="24"/>
                <w:szCs w:val="24"/>
              </w:rPr>
            </w:pPr>
          </w:p>
          <w:p w14:paraId="1AB24FD0" w14:textId="77777777" w:rsidR="00023803" w:rsidRPr="006159BE" w:rsidRDefault="00023803" w:rsidP="009610C2">
            <w:pPr>
              <w:rPr>
                <w:sz w:val="24"/>
                <w:szCs w:val="24"/>
              </w:rPr>
            </w:pPr>
          </w:p>
          <w:p w14:paraId="5F234297" w14:textId="77777777" w:rsidR="00D74007" w:rsidRPr="006159BE" w:rsidRDefault="00D74007" w:rsidP="00D74007">
            <w:pPr>
              <w:spacing w:line="360" w:lineRule="auto"/>
              <w:contextualSpacing/>
              <w:jc w:val="right"/>
              <w:rPr>
                <w:rFonts w:ascii="Arial" w:hAnsi="Arial" w:cs="Arial"/>
                <w:color w:val="00214E"/>
                <w:sz w:val="24"/>
                <w:szCs w:val="24"/>
              </w:rPr>
            </w:pPr>
            <w:r w:rsidRPr="006159BE">
              <w:rPr>
                <w:rFonts w:ascii="Arial" w:hAnsi="Arial" w:cs="Arial"/>
                <w:color w:val="00214E"/>
                <w:sz w:val="24"/>
                <w:szCs w:val="24"/>
              </w:rPr>
              <w:t xml:space="preserve">L’implication de la </w:t>
            </w:r>
            <w:proofErr w:type="spellStart"/>
            <w:r w:rsidRPr="006159BE">
              <w:rPr>
                <w:rFonts w:ascii="Arial" w:hAnsi="Arial" w:cs="Arial"/>
                <w:color w:val="00214E"/>
                <w:sz w:val="24"/>
                <w:szCs w:val="24"/>
              </w:rPr>
              <w:t>nécropolitique</w:t>
            </w:r>
            <w:proofErr w:type="spellEnd"/>
            <w:r w:rsidRPr="006159BE">
              <w:rPr>
                <w:rFonts w:ascii="Arial" w:hAnsi="Arial" w:cs="Arial"/>
                <w:color w:val="00214E"/>
                <w:sz w:val="24"/>
                <w:szCs w:val="24"/>
              </w:rPr>
              <w:t xml:space="preserve"> dans la construction des appareils politique, judiciaire et policier belges : </w:t>
            </w:r>
          </w:p>
          <w:p w14:paraId="0C4DEE90" w14:textId="79F24A8F" w:rsidR="00023803" w:rsidRPr="006159BE" w:rsidRDefault="00D74007" w:rsidP="00D74007">
            <w:pPr>
              <w:spacing w:line="360" w:lineRule="auto"/>
              <w:contextualSpacing/>
              <w:jc w:val="right"/>
              <w:rPr>
                <w:rFonts w:ascii="Arial" w:hAnsi="Arial" w:cs="Arial"/>
                <w:color w:val="00214E"/>
                <w:sz w:val="24"/>
                <w:szCs w:val="24"/>
              </w:rPr>
            </w:pPr>
            <w:r w:rsidRPr="006159BE">
              <w:rPr>
                <w:rFonts w:ascii="Arial" w:hAnsi="Arial" w:cs="Arial"/>
                <w:color w:val="00214E"/>
                <w:sz w:val="24"/>
                <w:szCs w:val="24"/>
              </w:rPr>
              <w:t xml:space="preserve">le cas de la migration </w:t>
            </w:r>
          </w:p>
          <w:p w14:paraId="24C5B6E6" w14:textId="77777777" w:rsidR="00023803" w:rsidRPr="006159BE" w:rsidRDefault="00023803" w:rsidP="009610C2">
            <w:pPr>
              <w:jc w:val="right"/>
              <w:rPr>
                <w:rFonts w:ascii="Arial" w:hAnsi="Arial" w:cs="Arial"/>
                <w:color w:val="00214E"/>
                <w:sz w:val="24"/>
                <w:szCs w:val="24"/>
              </w:rPr>
            </w:pPr>
          </w:p>
          <w:p w14:paraId="50064BF4" w14:textId="77777777" w:rsidR="00023803" w:rsidRPr="006159BE" w:rsidRDefault="00023803" w:rsidP="009610C2">
            <w:pPr>
              <w:jc w:val="right"/>
              <w:rPr>
                <w:rFonts w:ascii="Arial" w:hAnsi="Arial" w:cs="Arial"/>
                <w:color w:val="00214E"/>
                <w:sz w:val="24"/>
                <w:szCs w:val="24"/>
              </w:rPr>
            </w:pPr>
            <w:r w:rsidRPr="006159BE">
              <w:rPr>
                <w:rFonts w:ascii="Arial" w:hAnsi="Arial" w:cs="Arial"/>
                <w:color w:val="00214E"/>
                <w:sz w:val="24"/>
                <w:szCs w:val="24"/>
              </w:rPr>
              <w:t xml:space="preserve">Mémoire réalisé par </w:t>
            </w:r>
          </w:p>
          <w:p w14:paraId="1C9CA489" w14:textId="475C0FA6" w:rsidR="00023803" w:rsidRPr="006159BE" w:rsidRDefault="00023803" w:rsidP="009610C2">
            <w:pPr>
              <w:jc w:val="right"/>
              <w:rPr>
                <w:rFonts w:ascii="Arial" w:hAnsi="Arial" w:cs="Arial"/>
                <w:b/>
                <w:color w:val="00214E"/>
                <w:sz w:val="24"/>
                <w:szCs w:val="24"/>
              </w:rPr>
            </w:pPr>
            <w:r w:rsidRPr="006159BE">
              <w:rPr>
                <w:rFonts w:ascii="Arial" w:hAnsi="Arial" w:cs="Arial"/>
                <w:b/>
                <w:color w:val="00214E"/>
                <w:sz w:val="24"/>
                <w:szCs w:val="24"/>
              </w:rPr>
              <w:t xml:space="preserve">Eléonore </w:t>
            </w:r>
            <w:proofErr w:type="spellStart"/>
            <w:r w:rsidRPr="006159BE">
              <w:rPr>
                <w:rFonts w:ascii="Arial" w:hAnsi="Arial" w:cs="Arial"/>
                <w:b/>
                <w:color w:val="00214E"/>
                <w:sz w:val="24"/>
                <w:szCs w:val="24"/>
              </w:rPr>
              <w:t>Offermans</w:t>
            </w:r>
            <w:proofErr w:type="spellEnd"/>
          </w:p>
          <w:p w14:paraId="4060EDE4" w14:textId="77777777" w:rsidR="00023803" w:rsidRPr="006159BE" w:rsidRDefault="00023803" w:rsidP="009610C2">
            <w:pPr>
              <w:jc w:val="right"/>
              <w:rPr>
                <w:rFonts w:ascii="Arial" w:hAnsi="Arial" w:cs="Arial"/>
                <w:color w:val="00214E"/>
                <w:sz w:val="24"/>
                <w:szCs w:val="24"/>
              </w:rPr>
            </w:pPr>
          </w:p>
          <w:p w14:paraId="619320AA" w14:textId="77777777" w:rsidR="00023803" w:rsidRPr="006159BE" w:rsidRDefault="00023803" w:rsidP="009610C2">
            <w:pPr>
              <w:jc w:val="right"/>
              <w:rPr>
                <w:rFonts w:ascii="Arial" w:hAnsi="Arial" w:cs="Arial"/>
                <w:color w:val="00214E"/>
                <w:sz w:val="24"/>
                <w:szCs w:val="24"/>
              </w:rPr>
            </w:pPr>
            <w:r w:rsidRPr="006159BE">
              <w:rPr>
                <w:rFonts w:ascii="Arial" w:hAnsi="Arial" w:cs="Arial"/>
                <w:color w:val="00214E"/>
                <w:sz w:val="24"/>
                <w:szCs w:val="24"/>
              </w:rPr>
              <w:t>Promoteur(s)</w:t>
            </w:r>
          </w:p>
          <w:p w14:paraId="6458F59E" w14:textId="3A2CDCC3" w:rsidR="00023803" w:rsidRPr="006159BE" w:rsidRDefault="00AE3EDB" w:rsidP="009610C2">
            <w:pPr>
              <w:jc w:val="right"/>
              <w:rPr>
                <w:rFonts w:ascii="Arial" w:hAnsi="Arial" w:cs="Arial"/>
                <w:b/>
                <w:color w:val="00214E"/>
                <w:sz w:val="24"/>
                <w:szCs w:val="24"/>
              </w:rPr>
            </w:pPr>
            <w:r w:rsidRPr="006159BE">
              <w:rPr>
                <w:rFonts w:ascii="Arial" w:hAnsi="Arial" w:cs="Arial"/>
                <w:b/>
                <w:color w:val="00214E"/>
                <w:sz w:val="24"/>
                <w:szCs w:val="24"/>
              </w:rPr>
              <w:t xml:space="preserve">Jacinthe </w:t>
            </w:r>
            <w:proofErr w:type="spellStart"/>
            <w:r w:rsidRPr="006159BE">
              <w:rPr>
                <w:rFonts w:ascii="Arial" w:hAnsi="Arial" w:cs="Arial"/>
                <w:b/>
                <w:color w:val="00214E"/>
                <w:sz w:val="24"/>
                <w:szCs w:val="24"/>
              </w:rPr>
              <w:t>Mazzocchetti</w:t>
            </w:r>
            <w:proofErr w:type="spellEnd"/>
          </w:p>
          <w:p w14:paraId="43D3A2C3" w14:textId="77777777" w:rsidR="00023803" w:rsidRPr="006159BE" w:rsidRDefault="00023803" w:rsidP="009610C2">
            <w:pPr>
              <w:jc w:val="right"/>
              <w:rPr>
                <w:rFonts w:ascii="Arial" w:hAnsi="Arial" w:cs="Arial"/>
                <w:color w:val="00214E"/>
                <w:sz w:val="24"/>
                <w:szCs w:val="24"/>
              </w:rPr>
            </w:pPr>
          </w:p>
          <w:p w14:paraId="2917F00D" w14:textId="77777777" w:rsidR="00023803" w:rsidRPr="006159BE" w:rsidRDefault="00023803" w:rsidP="009610C2">
            <w:pPr>
              <w:jc w:val="right"/>
              <w:rPr>
                <w:rFonts w:ascii="Arial" w:hAnsi="Arial" w:cs="Arial"/>
                <w:color w:val="00214E"/>
                <w:sz w:val="24"/>
                <w:szCs w:val="24"/>
              </w:rPr>
            </w:pPr>
            <w:r w:rsidRPr="006159BE">
              <w:rPr>
                <w:rFonts w:ascii="Arial" w:hAnsi="Arial" w:cs="Arial"/>
                <w:color w:val="00214E"/>
                <w:sz w:val="24"/>
                <w:szCs w:val="24"/>
              </w:rPr>
              <w:t xml:space="preserve">Lecteur(s) </w:t>
            </w:r>
          </w:p>
          <w:p w14:paraId="1660FB11" w14:textId="474E22F7" w:rsidR="00023803" w:rsidRPr="006159BE" w:rsidRDefault="00DC3E21" w:rsidP="009610C2">
            <w:pPr>
              <w:jc w:val="right"/>
              <w:rPr>
                <w:rFonts w:ascii="Arial" w:hAnsi="Arial" w:cs="Arial"/>
                <w:b/>
                <w:color w:val="00214E"/>
                <w:sz w:val="24"/>
                <w:szCs w:val="24"/>
              </w:rPr>
            </w:pPr>
            <w:r w:rsidRPr="006159BE">
              <w:rPr>
                <w:rFonts w:ascii="Arial" w:hAnsi="Arial" w:cs="Arial"/>
                <w:b/>
                <w:color w:val="00214E"/>
                <w:sz w:val="24"/>
                <w:szCs w:val="24"/>
              </w:rPr>
              <w:t>Martin Vander Elst</w:t>
            </w:r>
          </w:p>
          <w:p w14:paraId="218C7493" w14:textId="77777777" w:rsidR="00023803" w:rsidRPr="006159BE" w:rsidRDefault="00023803" w:rsidP="009610C2">
            <w:pPr>
              <w:jc w:val="right"/>
              <w:rPr>
                <w:rFonts w:ascii="Arial" w:hAnsi="Arial" w:cs="Arial"/>
                <w:color w:val="00214E"/>
                <w:sz w:val="24"/>
                <w:szCs w:val="24"/>
              </w:rPr>
            </w:pPr>
          </w:p>
          <w:p w14:paraId="2460E420" w14:textId="04E9F486" w:rsidR="00023803" w:rsidRPr="006159BE" w:rsidRDefault="00023803" w:rsidP="009610C2">
            <w:pPr>
              <w:jc w:val="right"/>
              <w:rPr>
                <w:rFonts w:ascii="Arial" w:hAnsi="Arial" w:cs="Arial"/>
                <w:color w:val="00214E"/>
                <w:sz w:val="24"/>
                <w:szCs w:val="24"/>
              </w:rPr>
            </w:pPr>
            <w:r w:rsidRPr="006159BE">
              <w:rPr>
                <w:rFonts w:ascii="Arial" w:hAnsi="Arial" w:cs="Arial"/>
                <w:color w:val="00214E"/>
                <w:sz w:val="24"/>
                <w:szCs w:val="24"/>
              </w:rPr>
              <w:t>Année académique 2021-2022</w:t>
            </w:r>
          </w:p>
          <w:p w14:paraId="341C665C" w14:textId="77777777" w:rsidR="00023803" w:rsidRPr="006159BE" w:rsidRDefault="00023803" w:rsidP="009610C2">
            <w:pPr>
              <w:jc w:val="right"/>
              <w:rPr>
                <w:b/>
                <w:sz w:val="24"/>
                <w:szCs w:val="24"/>
              </w:rPr>
            </w:pPr>
            <w:r w:rsidRPr="006159BE">
              <w:rPr>
                <w:rFonts w:ascii="Arial" w:hAnsi="Arial" w:cs="Arial"/>
                <w:b/>
                <w:color w:val="00214E"/>
                <w:sz w:val="24"/>
                <w:szCs w:val="24"/>
              </w:rPr>
              <w:t xml:space="preserve">Master </w:t>
            </w:r>
          </w:p>
        </w:tc>
      </w:tr>
      <w:tr w:rsidR="00023803" w:rsidRPr="006159BE" w14:paraId="41B51027" w14:textId="77777777" w:rsidTr="009610C2">
        <w:trPr>
          <w:trHeight w:val="5046"/>
        </w:trPr>
        <w:tc>
          <w:tcPr>
            <w:tcW w:w="10628" w:type="dxa"/>
          </w:tcPr>
          <w:p w14:paraId="3A79C467" w14:textId="77777777" w:rsidR="00E023A5" w:rsidRPr="006159BE" w:rsidRDefault="00E023A5" w:rsidP="00E023A5">
            <w:pPr>
              <w:spacing w:before="120" w:after="120"/>
              <w:ind w:left="360"/>
              <w:jc w:val="both"/>
              <w:rPr>
                <w:sz w:val="24"/>
                <w:szCs w:val="24"/>
              </w:rPr>
            </w:pPr>
            <w:r w:rsidRPr="006159BE">
              <w:rPr>
                <w:sz w:val="24"/>
                <w:szCs w:val="24"/>
              </w:rPr>
              <w:lastRenderedPageBreak/>
              <w:t>« Je déclare sur l’honneur que ce mémoire a été écrit de ma plume, sans avoir sollicité d’aide extérieure illicite, qu’il n’est pas la reprise d’un travail présenté dans une autre institution pour évaluation, et qu’il n’a jamais été publié, en tout ou en partie. Toutes les informations (idées, phrases, graphes, cartes, tableaux, …) empruntées ou faisant référence à des sources primaires ou secondaires sont référencées adéquatement selon la méthode universitaire en vigueur.</w:t>
            </w:r>
          </w:p>
          <w:p w14:paraId="6C706BA5" w14:textId="2FDE9D0B" w:rsidR="00E023A5" w:rsidRPr="006159BE" w:rsidRDefault="00E023A5" w:rsidP="00E023A5">
            <w:pPr>
              <w:spacing w:before="120" w:after="120"/>
              <w:ind w:left="360"/>
              <w:jc w:val="both"/>
              <w:rPr>
                <w:bCs/>
                <w:sz w:val="24"/>
                <w:szCs w:val="24"/>
              </w:rPr>
            </w:pPr>
            <w:r w:rsidRPr="006159BE">
              <w:rPr>
                <w:sz w:val="24"/>
                <w:szCs w:val="24"/>
              </w:rPr>
              <w:t xml:space="preserve">Je déclare avoir pris connaissance et adhérer au </w:t>
            </w:r>
            <w:hyperlink r:id="rId9" w:anchor="#" w:history="1"/>
            <w:r w:rsidRPr="006159BE">
              <w:rPr>
                <w:b/>
                <w:bCs/>
                <w:sz w:val="24"/>
                <w:szCs w:val="24"/>
              </w:rPr>
              <w:t xml:space="preserve">Code de déontologie pour les étudiants en matière d'emprunts, de citations et d'exploitation de sources diverses </w:t>
            </w:r>
            <w:r w:rsidRPr="006159BE">
              <w:rPr>
                <w:sz w:val="24"/>
                <w:szCs w:val="24"/>
              </w:rPr>
              <w:t>et savoir que le plagiat constitue une faute grave</w:t>
            </w:r>
            <w:r w:rsidRPr="006159BE">
              <w:rPr>
                <w:bCs/>
                <w:sz w:val="24"/>
                <w:szCs w:val="24"/>
              </w:rPr>
              <w:t>. »</w:t>
            </w:r>
          </w:p>
          <w:p w14:paraId="0A3B6B78" w14:textId="21DE523B" w:rsidR="00E023A5" w:rsidRPr="006159BE" w:rsidRDefault="003E4F01" w:rsidP="00E023A5">
            <w:pPr>
              <w:spacing w:before="120" w:after="120"/>
              <w:ind w:left="360"/>
              <w:jc w:val="both"/>
              <w:rPr>
                <w:bCs/>
                <w:sz w:val="24"/>
                <w:szCs w:val="24"/>
              </w:rPr>
            </w:pPr>
            <w:r w:rsidRPr="006159BE">
              <w:rPr>
                <w:bCs/>
                <w:noProof/>
                <w:sz w:val="24"/>
                <w:szCs w:val="24"/>
              </w:rPr>
              <w:drawing>
                <wp:inline distT="0" distB="0" distL="0" distR="0" wp14:anchorId="690552CF" wp14:editId="11D7A7E1">
                  <wp:extent cx="1536700" cy="508000"/>
                  <wp:effectExtent l="0" t="0" r="0" b="0"/>
                  <wp:docPr id="3" name="Image 3" descr="Une image contenant antenn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descr="Une image contenant antenne&#10;&#10;Description générée automatiquemen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36700" cy="508000"/>
                          </a:xfrm>
                          <a:prstGeom prst="rect">
                            <a:avLst/>
                          </a:prstGeom>
                        </pic:spPr>
                      </pic:pic>
                    </a:graphicData>
                  </a:graphic>
                </wp:inline>
              </w:drawing>
            </w:r>
          </w:p>
          <w:p w14:paraId="6D4E409A" w14:textId="2B5A61CC" w:rsidR="00023803" w:rsidRPr="006159BE" w:rsidRDefault="00023803" w:rsidP="009610C2">
            <w:pPr>
              <w:rPr>
                <w:rFonts w:ascii="Arial" w:hAnsi="Arial" w:cs="Arial"/>
                <w:b/>
                <w:sz w:val="24"/>
                <w:szCs w:val="24"/>
              </w:rPr>
            </w:pPr>
          </w:p>
          <w:p w14:paraId="4566A128" w14:textId="0D415167" w:rsidR="0038353E" w:rsidRPr="006159BE" w:rsidRDefault="0038353E" w:rsidP="009610C2">
            <w:pPr>
              <w:rPr>
                <w:rFonts w:ascii="Arial" w:hAnsi="Arial" w:cs="Arial"/>
                <w:b/>
                <w:sz w:val="24"/>
                <w:szCs w:val="24"/>
              </w:rPr>
            </w:pPr>
          </w:p>
          <w:p w14:paraId="1DDC960A" w14:textId="3274CB42" w:rsidR="0038353E" w:rsidRPr="006159BE" w:rsidRDefault="0038353E" w:rsidP="009610C2">
            <w:pPr>
              <w:rPr>
                <w:rFonts w:ascii="Arial" w:hAnsi="Arial" w:cs="Arial"/>
                <w:b/>
                <w:sz w:val="24"/>
                <w:szCs w:val="24"/>
              </w:rPr>
            </w:pPr>
          </w:p>
          <w:p w14:paraId="45A683B5" w14:textId="2017A3B4" w:rsidR="0038353E" w:rsidRPr="006159BE" w:rsidRDefault="0038353E" w:rsidP="009610C2">
            <w:pPr>
              <w:rPr>
                <w:rFonts w:ascii="Arial" w:hAnsi="Arial" w:cs="Arial"/>
                <w:b/>
                <w:sz w:val="24"/>
                <w:szCs w:val="24"/>
              </w:rPr>
            </w:pPr>
          </w:p>
          <w:p w14:paraId="45EFE7EA" w14:textId="1FA0C657" w:rsidR="0038353E" w:rsidRPr="006159BE" w:rsidRDefault="0038353E" w:rsidP="009610C2">
            <w:pPr>
              <w:rPr>
                <w:rFonts w:ascii="Arial" w:hAnsi="Arial" w:cs="Arial"/>
                <w:b/>
                <w:sz w:val="24"/>
                <w:szCs w:val="24"/>
              </w:rPr>
            </w:pPr>
          </w:p>
          <w:p w14:paraId="75E5B245" w14:textId="07F509E4" w:rsidR="0038353E" w:rsidRPr="006159BE" w:rsidRDefault="0038353E" w:rsidP="009610C2">
            <w:pPr>
              <w:rPr>
                <w:rFonts w:ascii="Arial" w:hAnsi="Arial" w:cs="Arial"/>
                <w:b/>
                <w:sz w:val="24"/>
                <w:szCs w:val="24"/>
              </w:rPr>
            </w:pPr>
          </w:p>
          <w:p w14:paraId="5E891704" w14:textId="4C44CE37" w:rsidR="0038353E" w:rsidRPr="006159BE" w:rsidRDefault="0038353E" w:rsidP="009610C2">
            <w:pPr>
              <w:rPr>
                <w:rFonts w:ascii="Arial" w:hAnsi="Arial" w:cs="Arial"/>
                <w:b/>
                <w:sz w:val="24"/>
                <w:szCs w:val="24"/>
              </w:rPr>
            </w:pPr>
          </w:p>
          <w:p w14:paraId="06A8050D" w14:textId="76D67ADE" w:rsidR="0038353E" w:rsidRPr="006159BE" w:rsidRDefault="0038353E" w:rsidP="009610C2">
            <w:pPr>
              <w:rPr>
                <w:rFonts w:ascii="Arial" w:hAnsi="Arial" w:cs="Arial"/>
                <w:b/>
                <w:sz w:val="24"/>
                <w:szCs w:val="24"/>
              </w:rPr>
            </w:pPr>
          </w:p>
          <w:p w14:paraId="1D348ADD" w14:textId="03C00FA3" w:rsidR="0038353E" w:rsidRPr="006159BE" w:rsidRDefault="0038353E" w:rsidP="009610C2">
            <w:pPr>
              <w:rPr>
                <w:rFonts w:ascii="Arial" w:hAnsi="Arial" w:cs="Arial"/>
                <w:b/>
                <w:sz w:val="24"/>
                <w:szCs w:val="24"/>
              </w:rPr>
            </w:pPr>
          </w:p>
          <w:p w14:paraId="7A24A166" w14:textId="6A50C74E" w:rsidR="0038353E" w:rsidRPr="006159BE" w:rsidRDefault="0038353E" w:rsidP="009610C2">
            <w:pPr>
              <w:rPr>
                <w:rFonts w:ascii="Arial" w:hAnsi="Arial" w:cs="Arial"/>
                <w:b/>
                <w:sz w:val="24"/>
                <w:szCs w:val="24"/>
              </w:rPr>
            </w:pPr>
          </w:p>
          <w:p w14:paraId="37FAE1EA" w14:textId="2EB99B09" w:rsidR="0038353E" w:rsidRPr="006159BE" w:rsidRDefault="0038353E" w:rsidP="009610C2">
            <w:pPr>
              <w:rPr>
                <w:rFonts w:ascii="Arial" w:hAnsi="Arial" w:cs="Arial"/>
                <w:b/>
                <w:sz w:val="24"/>
                <w:szCs w:val="24"/>
              </w:rPr>
            </w:pPr>
          </w:p>
          <w:p w14:paraId="217D779F" w14:textId="6562CFF3" w:rsidR="0038353E" w:rsidRPr="006159BE" w:rsidRDefault="0038353E" w:rsidP="009610C2">
            <w:pPr>
              <w:rPr>
                <w:rFonts w:ascii="Arial" w:hAnsi="Arial" w:cs="Arial"/>
                <w:b/>
                <w:sz w:val="24"/>
                <w:szCs w:val="24"/>
              </w:rPr>
            </w:pPr>
          </w:p>
          <w:p w14:paraId="1AD0782B" w14:textId="4A9EC9C2" w:rsidR="0038353E" w:rsidRPr="006159BE" w:rsidRDefault="0038353E" w:rsidP="009610C2">
            <w:pPr>
              <w:rPr>
                <w:rFonts w:ascii="Arial" w:hAnsi="Arial" w:cs="Arial"/>
                <w:b/>
                <w:sz w:val="24"/>
                <w:szCs w:val="24"/>
              </w:rPr>
            </w:pPr>
          </w:p>
          <w:p w14:paraId="48AF03E6" w14:textId="7D356205" w:rsidR="0038353E" w:rsidRPr="006159BE" w:rsidRDefault="0038353E" w:rsidP="009610C2">
            <w:pPr>
              <w:rPr>
                <w:rFonts w:ascii="Arial" w:hAnsi="Arial" w:cs="Arial"/>
                <w:b/>
                <w:sz w:val="24"/>
                <w:szCs w:val="24"/>
              </w:rPr>
            </w:pPr>
          </w:p>
          <w:p w14:paraId="03FE675C" w14:textId="3BBF0201" w:rsidR="0038353E" w:rsidRPr="006159BE" w:rsidRDefault="0038353E" w:rsidP="009610C2">
            <w:pPr>
              <w:rPr>
                <w:rFonts w:ascii="Arial" w:hAnsi="Arial" w:cs="Arial"/>
                <w:b/>
                <w:sz w:val="24"/>
                <w:szCs w:val="24"/>
              </w:rPr>
            </w:pPr>
          </w:p>
          <w:p w14:paraId="29BCB2DC" w14:textId="47267B3C" w:rsidR="003E4F01" w:rsidRPr="006159BE" w:rsidRDefault="003E4F01" w:rsidP="009610C2">
            <w:pPr>
              <w:rPr>
                <w:rFonts w:ascii="Arial" w:hAnsi="Arial" w:cs="Arial"/>
                <w:b/>
                <w:sz w:val="24"/>
                <w:szCs w:val="24"/>
              </w:rPr>
            </w:pPr>
          </w:p>
          <w:p w14:paraId="2A529A6B" w14:textId="1DB0D13B" w:rsidR="003E4F01" w:rsidRDefault="003E4F01" w:rsidP="009610C2">
            <w:pPr>
              <w:rPr>
                <w:rFonts w:ascii="Arial" w:hAnsi="Arial" w:cs="Arial"/>
                <w:b/>
                <w:sz w:val="24"/>
                <w:szCs w:val="24"/>
              </w:rPr>
            </w:pPr>
          </w:p>
          <w:p w14:paraId="23577789" w14:textId="6D9197F6" w:rsidR="004718C5" w:rsidRDefault="004718C5" w:rsidP="009610C2">
            <w:pPr>
              <w:rPr>
                <w:rFonts w:ascii="Arial" w:hAnsi="Arial" w:cs="Arial"/>
                <w:b/>
                <w:sz w:val="24"/>
                <w:szCs w:val="24"/>
              </w:rPr>
            </w:pPr>
          </w:p>
          <w:p w14:paraId="057FA65E" w14:textId="0D1E0A24" w:rsidR="004718C5" w:rsidRDefault="004718C5" w:rsidP="009610C2">
            <w:pPr>
              <w:rPr>
                <w:rFonts w:ascii="Arial" w:hAnsi="Arial" w:cs="Arial"/>
                <w:b/>
                <w:sz w:val="24"/>
                <w:szCs w:val="24"/>
              </w:rPr>
            </w:pPr>
          </w:p>
          <w:p w14:paraId="5477BE13" w14:textId="10C3C52F" w:rsidR="004718C5" w:rsidRDefault="004718C5" w:rsidP="009610C2">
            <w:pPr>
              <w:rPr>
                <w:rFonts w:ascii="Arial" w:hAnsi="Arial" w:cs="Arial"/>
                <w:b/>
                <w:sz w:val="24"/>
                <w:szCs w:val="24"/>
              </w:rPr>
            </w:pPr>
          </w:p>
          <w:p w14:paraId="41704D3A" w14:textId="0C4F89E8" w:rsidR="004718C5" w:rsidRDefault="004718C5" w:rsidP="009610C2">
            <w:pPr>
              <w:rPr>
                <w:rFonts w:ascii="Arial" w:hAnsi="Arial" w:cs="Arial"/>
                <w:b/>
                <w:sz w:val="24"/>
                <w:szCs w:val="24"/>
              </w:rPr>
            </w:pPr>
          </w:p>
          <w:p w14:paraId="626A48F8" w14:textId="227E3B12" w:rsidR="004718C5" w:rsidRDefault="004718C5" w:rsidP="009610C2">
            <w:pPr>
              <w:rPr>
                <w:rFonts w:ascii="Arial" w:hAnsi="Arial" w:cs="Arial"/>
                <w:b/>
                <w:sz w:val="24"/>
                <w:szCs w:val="24"/>
              </w:rPr>
            </w:pPr>
          </w:p>
          <w:p w14:paraId="5FACE75F" w14:textId="07350C72" w:rsidR="004718C5" w:rsidRDefault="004718C5" w:rsidP="009610C2">
            <w:pPr>
              <w:rPr>
                <w:rFonts w:ascii="Arial" w:hAnsi="Arial" w:cs="Arial"/>
                <w:b/>
                <w:sz w:val="24"/>
                <w:szCs w:val="24"/>
              </w:rPr>
            </w:pPr>
          </w:p>
          <w:p w14:paraId="192B183B" w14:textId="254D465C" w:rsidR="004718C5" w:rsidRDefault="004718C5" w:rsidP="009610C2">
            <w:pPr>
              <w:rPr>
                <w:rFonts w:ascii="Arial" w:hAnsi="Arial" w:cs="Arial"/>
                <w:b/>
                <w:sz w:val="24"/>
                <w:szCs w:val="24"/>
              </w:rPr>
            </w:pPr>
          </w:p>
          <w:p w14:paraId="2090F05F" w14:textId="736221C8" w:rsidR="004718C5" w:rsidRDefault="004718C5" w:rsidP="009610C2">
            <w:pPr>
              <w:rPr>
                <w:rFonts w:ascii="Arial" w:hAnsi="Arial" w:cs="Arial"/>
                <w:b/>
                <w:sz w:val="24"/>
                <w:szCs w:val="24"/>
              </w:rPr>
            </w:pPr>
          </w:p>
          <w:p w14:paraId="16B6FB7B" w14:textId="04DA610C" w:rsidR="004718C5" w:rsidRDefault="004718C5" w:rsidP="009610C2">
            <w:pPr>
              <w:rPr>
                <w:rFonts w:ascii="Arial" w:hAnsi="Arial" w:cs="Arial"/>
                <w:b/>
                <w:sz w:val="24"/>
                <w:szCs w:val="24"/>
              </w:rPr>
            </w:pPr>
          </w:p>
          <w:p w14:paraId="48C9C826" w14:textId="00103BE4" w:rsidR="004718C5" w:rsidRDefault="004718C5" w:rsidP="009610C2">
            <w:pPr>
              <w:rPr>
                <w:rFonts w:ascii="Arial" w:hAnsi="Arial" w:cs="Arial"/>
                <w:b/>
                <w:sz w:val="24"/>
                <w:szCs w:val="24"/>
              </w:rPr>
            </w:pPr>
          </w:p>
          <w:p w14:paraId="09D64464" w14:textId="7C0A6A65" w:rsidR="004718C5" w:rsidRDefault="004718C5" w:rsidP="009610C2">
            <w:pPr>
              <w:rPr>
                <w:rFonts w:ascii="Arial" w:hAnsi="Arial" w:cs="Arial"/>
                <w:b/>
                <w:sz w:val="24"/>
                <w:szCs w:val="24"/>
              </w:rPr>
            </w:pPr>
          </w:p>
          <w:p w14:paraId="36A0A9C9" w14:textId="4C9E467B" w:rsidR="004718C5" w:rsidRDefault="004718C5" w:rsidP="009610C2">
            <w:pPr>
              <w:rPr>
                <w:rFonts w:ascii="Arial" w:hAnsi="Arial" w:cs="Arial"/>
                <w:b/>
                <w:sz w:val="24"/>
                <w:szCs w:val="24"/>
              </w:rPr>
            </w:pPr>
          </w:p>
          <w:p w14:paraId="6F02BAF1" w14:textId="56CA9CB8" w:rsidR="004718C5" w:rsidRDefault="004718C5" w:rsidP="009610C2">
            <w:pPr>
              <w:rPr>
                <w:rFonts w:ascii="Arial" w:hAnsi="Arial" w:cs="Arial"/>
                <w:b/>
                <w:sz w:val="24"/>
                <w:szCs w:val="24"/>
              </w:rPr>
            </w:pPr>
          </w:p>
          <w:p w14:paraId="35EB31B6" w14:textId="1ADED80E" w:rsidR="004718C5" w:rsidRDefault="004718C5" w:rsidP="009610C2">
            <w:pPr>
              <w:rPr>
                <w:rFonts w:ascii="Arial" w:hAnsi="Arial" w:cs="Arial"/>
                <w:b/>
                <w:sz w:val="24"/>
                <w:szCs w:val="24"/>
              </w:rPr>
            </w:pPr>
          </w:p>
          <w:p w14:paraId="721348C1" w14:textId="68DB12BD" w:rsidR="004718C5" w:rsidRDefault="004718C5" w:rsidP="009610C2">
            <w:pPr>
              <w:rPr>
                <w:rFonts w:ascii="Arial" w:hAnsi="Arial" w:cs="Arial"/>
                <w:b/>
                <w:sz w:val="24"/>
                <w:szCs w:val="24"/>
              </w:rPr>
            </w:pPr>
          </w:p>
          <w:p w14:paraId="376ADBF7" w14:textId="19855D83" w:rsidR="004718C5" w:rsidRDefault="004718C5" w:rsidP="009610C2">
            <w:pPr>
              <w:rPr>
                <w:rFonts w:ascii="Arial" w:hAnsi="Arial" w:cs="Arial"/>
                <w:b/>
                <w:sz w:val="24"/>
                <w:szCs w:val="24"/>
              </w:rPr>
            </w:pPr>
          </w:p>
          <w:p w14:paraId="2C6128B5" w14:textId="2663717C" w:rsidR="004718C5" w:rsidRDefault="004718C5" w:rsidP="009610C2">
            <w:pPr>
              <w:rPr>
                <w:rFonts w:ascii="Arial" w:hAnsi="Arial" w:cs="Arial"/>
                <w:b/>
                <w:sz w:val="24"/>
                <w:szCs w:val="24"/>
              </w:rPr>
            </w:pPr>
          </w:p>
          <w:p w14:paraId="500571B2" w14:textId="77777777" w:rsidR="004718C5" w:rsidRPr="006159BE" w:rsidRDefault="004718C5" w:rsidP="009610C2">
            <w:pPr>
              <w:rPr>
                <w:rFonts w:ascii="Arial" w:hAnsi="Arial" w:cs="Arial"/>
                <w:b/>
                <w:sz w:val="24"/>
                <w:szCs w:val="24"/>
              </w:rPr>
            </w:pPr>
          </w:p>
          <w:p w14:paraId="5940CCFD" w14:textId="2604EA51" w:rsidR="003E4F01" w:rsidRPr="006159BE" w:rsidRDefault="003E4F01" w:rsidP="009610C2">
            <w:pPr>
              <w:rPr>
                <w:rFonts w:ascii="Arial" w:hAnsi="Arial" w:cs="Arial"/>
                <w:b/>
                <w:sz w:val="24"/>
                <w:szCs w:val="24"/>
              </w:rPr>
            </w:pPr>
          </w:p>
          <w:p w14:paraId="259DE830" w14:textId="35E14D35" w:rsidR="003E4F01" w:rsidRPr="006159BE" w:rsidRDefault="003E4F01" w:rsidP="009610C2">
            <w:pPr>
              <w:rPr>
                <w:rFonts w:ascii="Arial" w:hAnsi="Arial" w:cs="Arial"/>
                <w:b/>
                <w:sz w:val="24"/>
                <w:szCs w:val="24"/>
              </w:rPr>
            </w:pPr>
          </w:p>
          <w:p w14:paraId="1F5BC6F1" w14:textId="10234E57" w:rsidR="003E4F01" w:rsidRPr="006159BE" w:rsidRDefault="003E4F01" w:rsidP="009610C2">
            <w:pPr>
              <w:rPr>
                <w:rFonts w:ascii="Arial" w:hAnsi="Arial" w:cs="Arial"/>
                <w:b/>
                <w:sz w:val="24"/>
                <w:szCs w:val="24"/>
              </w:rPr>
            </w:pPr>
            <w:r w:rsidRPr="006159BE">
              <w:rPr>
                <w:rFonts w:ascii="Arial" w:hAnsi="Arial" w:cs="Arial"/>
                <w:b/>
                <w:sz w:val="24"/>
                <w:szCs w:val="24"/>
              </w:rPr>
              <w:lastRenderedPageBreak/>
              <w:t>Remerciements</w:t>
            </w:r>
          </w:p>
          <w:p w14:paraId="71F66827" w14:textId="15069F79" w:rsidR="007746C7" w:rsidRPr="006159BE" w:rsidRDefault="007746C7" w:rsidP="009610C2">
            <w:pPr>
              <w:rPr>
                <w:rFonts w:ascii="Arial" w:hAnsi="Arial" w:cs="Arial"/>
                <w:bCs/>
                <w:sz w:val="24"/>
                <w:szCs w:val="24"/>
              </w:rPr>
            </w:pPr>
          </w:p>
          <w:p w14:paraId="3A20AFD0" w14:textId="74917F8E" w:rsidR="007746C7" w:rsidRPr="006159BE" w:rsidRDefault="007746C7" w:rsidP="009610C2">
            <w:pPr>
              <w:rPr>
                <w:rFonts w:ascii="Arial" w:hAnsi="Arial" w:cs="Arial"/>
                <w:bCs/>
                <w:sz w:val="24"/>
                <w:szCs w:val="24"/>
              </w:rPr>
            </w:pPr>
            <w:r w:rsidRPr="006159BE">
              <w:rPr>
                <w:rFonts w:ascii="Arial" w:hAnsi="Arial" w:cs="Arial"/>
                <w:bCs/>
                <w:sz w:val="24"/>
                <w:szCs w:val="24"/>
              </w:rPr>
              <w:t xml:space="preserve">Je remercie toutes les personnes qui m’ont permis de mener à bien la rédaction de ce travail de fin d’étude. </w:t>
            </w:r>
          </w:p>
          <w:p w14:paraId="0CD77249" w14:textId="6D812327" w:rsidR="007746C7" w:rsidRPr="006159BE" w:rsidRDefault="007746C7" w:rsidP="009610C2">
            <w:pPr>
              <w:rPr>
                <w:rFonts w:ascii="Arial" w:hAnsi="Arial" w:cs="Arial"/>
                <w:bCs/>
                <w:sz w:val="24"/>
                <w:szCs w:val="24"/>
              </w:rPr>
            </w:pPr>
            <w:r w:rsidRPr="006159BE">
              <w:rPr>
                <w:rFonts w:ascii="Arial" w:hAnsi="Arial" w:cs="Arial"/>
                <w:bCs/>
                <w:sz w:val="24"/>
                <w:szCs w:val="24"/>
              </w:rPr>
              <w:t xml:space="preserve">Je souhaiterais remercier tout particulièrement Madame </w:t>
            </w:r>
            <w:proofErr w:type="spellStart"/>
            <w:r w:rsidRPr="006159BE">
              <w:rPr>
                <w:rFonts w:ascii="Arial" w:hAnsi="Arial" w:cs="Arial"/>
                <w:bCs/>
                <w:sz w:val="24"/>
                <w:szCs w:val="24"/>
              </w:rPr>
              <w:t>Mazzocchetti</w:t>
            </w:r>
            <w:proofErr w:type="spellEnd"/>
            <w:r w:rsidRPr="006159BE">
              <w:rPr>
                <w:rFonts w:ascii="Arial" w:hAnsi="Arial" w:cs="Arial"/>
                <w:bCs/>
                <w:sz w:val="24"/>
                <w:szCs w:val="24"/>
              </w:rPr>
              <w:t xml:space="preserve"> d’avoir été de bon conseil concernant les lectures de référence à utiliser pour ce travail, d’avoir suscité un grand intérêt pour mon sujet et tout simplement d’avoir accepté de m’encadrer. </w:t>
            </w:r>
          </w:p>
          <w:p w14:paraId="0E2E8BC7" w14:textId="4C485C34" w:rsidR="007746C7" w:rsidRPr="006159BE" w:rsidRDefault="007746C7" w:rsidP="009610C2">
            <w:pPr>
              <w:rPr>
                <w:rFonts w:ascii="Arial" w:hAnsi="Arial" w:cs="Arial"/>
                <w:bCs/>
                <w:sz w:val="24"/>
                <w:szCs w:val="24"/>
              </w:rPr>
            </w:pPr>
            <w:r w:rsidRPr="006159BE">
              <w:rPr>
                <w:rFonts w:ascii="Arial" w:hAnsi="Arial" w:cs="Arial"/>
                <w:bCs/>
                <w:sz w:val="24"/>
                <w:szCs w:val="24"/>
              </w:rPr>
              <w:t xml:space="preserve">Je voudrais aussi remercier Martin Vander Elst d’avoir accepté d’être le lecteur officiel de ce travail. </w:t>
            </w:r>
            <w:r w:rsidR="0020731C" w:rsidRPr="006159BE">
              <w:rPr>
                <w:rFonts w:ascii="Arial" w:hAnsi="Arial" w:cs="Arial"/>
                <w:bCs/>
                <w:sz w:val="24"/>
                <w:szCs w:val="24"/>
              </w:rPr>
              <w:t>Je suis très reconnaissante au vu de ses connaissances sur le sujet.</w:t>
            </w:r>
          </w:p>
          <w:p w14:paraId="5D171868" w14:textId="77777777" w:rsidR="007746C7" w:rsidRPr="006159BE" w:rsidRDefault="007746C7" w:rsidP="009610C2">
            <w:pPr>
              <w:rPr>
                <w:rFonts w:ascii="Arial" w:hAnsi="Arial" w:cs="Arial"/>
                <w:b/>
                <w:sz w:val="24"/>
                <w:szCs w:val="24"/>
              </w:rPr>
            </w:pPr>
          </w:p>
          <w:p w14:paraId="30B26C36" w14:textId="47EE13AE" w:rsidR="0038353E" w:rsidRPr="006159BE" w:rsidRDefault="0038353E" w:rsidP="009610C2">
            <w:pPr>
              <w:rPr>
                <w:rFonts w:ascii="Arial" w:hAnsi="Arial" w:cs="Arial"/>
                <w:b/>
                <w:sz w:val="24"/>
                <w:szCs w:val="24"/>
              </w:rPr>
            </w:pPr>
          </w:p>
          <w:p w14:paraId="1375DFAB" w14:textId="2C12545A" w:rsidR="0038353E" w:rsidRPr="006159BE" w:rsidRDefault="0038353E" w:rsidP="009610C2">
            <w:pPr>
              <w:rPr>
                <w:rFonts w:ascii="Arial" w:hAnsi="Arial" w:cs="Arial"/>
                <w:b/>
                <w:sz w:val="24"/>
                <w:szCs w:val="24"/>
              </w:rPr>
            </w:pPr>
          </w:p>
          <w:p w14:paraId="563AC122" w14:textId="27101749" w:rsidR="0038353E" w:rsidRPr="006159BE" w:rsidRDefault="0038353E" w:rsidP="009610C2">
            <w:pPr>
              <w:rPr>
                <w:rFonts w:ascii="Arial" w:hAnsi="Arial" w:cs="Arial"/>
                <w:b/>
                <w:sz w:val="24"/>
                <w:szCs w:val="24"/>
              </w:rPr>
            </w:pPr>
          </w:p>
          <w:p w14:paraId="2F5A0E82" w14:textId="1EEBD97B" w:rsidR="0038353E" w:rsidRPr="006159BE" w:rsidRDefault="0038353E" w:rsidP="009610C2">
            <w:pPr>
              <w:rPr>
                <w:rFonts w:ascii="Arial" w:hAnsi="Arial" w:cs="Arial"/>
                <w:b/>
                <w:sz w:val="24"/>
                <w:szCs w:val="24"/>
              </w:rPr>
            </w:pPr>
          </w:p>
          <w:p w14:paraId="5902F390" w14:textId="6146B7C6" w:rsidR="003E4F01" w:rsidRPr="006159BE" w:rsidRDefault="003E4F01" w:rsidP="009610C2">
            <w:pPr>
              <w:rPr>
                <w:rFonts w:ascii="Arial" w:hAnsi="Arial" w:cs="Arial"/>
                <w:b/>
                <w:sz w:val="24"/>
                <w:szCs w:val="24"/>
              </w:rPr>
            </w:pPr>
          </w:p>
          <w:p w14:paraId="71050650" w14:textId="68D00DAA" w:rsidR="003E4F01" w:rsidRPr="006159BE" w:rsidRDefault="003E4F01" w:rsidP="009610C2">
            <w:pPr>
              <w:rPr>
                <w:rFonts w:ascii="Arial" w:hAnsi="Arial" w:cs="Arial"/>
                <w:b/>
                <w:sz w:val="24"/>
                <w:szCs w:val="24"/>
              </w:rPr>
            </w:pPr>
          </w:p>
          <w:p w14:paraId="10A93476" w14:textId="464E5674" w:rsidR="003E4F01" w:rsidRPr="006159BE" w:rsidRDefault="003E4F01" w:rsidP="009610C2">
            <w:pPr>
              <w:rPr>
                <w:rFonts w:ascii="Arial" w:hAnsi="Arial" w:cs="Arial"/>
                <w:b/>
                <w:sz w:val="24"/>
                <w:szCs w:val="24"/>
              </w:rPr>
            </w:pPr>
          </w:p>
          <w:p w14:paraId="465773D6" w14:textId="2403AE76" w:rsidR="003E4F01" w:rsidRPr="006159BE" w:rsidRDefault="003E4F01" w:rsidP="009610C2">
            <w:pPr>
              <w:rPr>
                <w:rFonts w:ascii="Arial" w:hAnsi="Arial" w:cs="Arial"/>
                <w:b/>
                <w:sz w:val="24"/>
                <w:szCs w:val="24"/>
              </w:rPr>
            </w:pPr>
          </w:p>
          <w:p w14:paraId="3C48B6EA" w14:textId="4C9E04E0" w:rsidR="003E4F01" w:rsidRPr="006159BE" w:rsidRDefault="003E4F01" w:rsidP="009610C2">
            <w:pPr>
              <w:rPr>
                <w:rFonts w:ascii="Arial" w:hAnsi="Arial" w:cs="Arial"/>
                <w:b/>
                <w:sz w:val="24"/>
                <w:szCs w:val="24"/>
              </w:rPr>
            </w:pPr>
          </w:p>
          <w:p w14:paraId="652DE55B" w14:textId="2CC4C80D" w:rsidR="003E4F01" w:rsidRPr="006159BE" w:rsidRDefault="003E4F01" w:rsidP="009610C2">
            <w:pPr>
              <w:rPr>
                <w:rFonts w:ascii="Arial" w:hAnsi="Arial" w:cs="Arial"/>
                <w:b/>
                <w:sz w:val="24"/>
                <w:szCs w:val="24"/>
              </w:rPr>
            </w:pPr>
          </w:p>
          <w:p w14:paraId="143B5518" w14:textId="433C404D" w:rsidR="003E4F01" w:rsidRPr="006159BE" w:rsidRDefault="003E4F01" w:rsidP="009610C2">
            <w:pPr>
              <w:rPr>
                <w:rFonts w:ascii="Arial" w:hAnsi="Arial" w:cs="Arial"/>
                <w:b/>
                <w:sz w:val="24"/>
                <w:szCs w:val="24"/>
              </w:rPr>
            </w:pPr>
          </w:p>
          <w:p w14:paraId="797BA7DB" w14:textId="17E36D41" w:rsidR="003E4F01" w:rsidRPr="006159BE" w:rsidRDefault="003E4F01" w:rsidP="009610C2">
            <w:pPr>
              <w:rPr>
                <w:rFonts w:ascii="Arial" w:hAnsi="Arial" w:cs="Arial"/>
                <w:b/>
                <w:sz w:val="24"/>
                <w:szCs w:val="24"/>
              </w:rPr>
            </w:pPr>
          </w:p>
          <w:p w14:paraId="0AE31149" w14:textId="441AD99D" w:rsidR="003E4F01" w:rsidRPr="006159BE" w:rsidRDefault="003E4F01" w:rsidP="009610C2">
            <w:pPr>
              <w:rPr>
                <w:rFonts w:ascii="Arial" w:hAnsi="Arial" w:cs="Arial"/>
                <w:b/>
                <w:sz w:val="24"/>
                <w:szCs w:val="24"/>
              </w:rPr>
            </w:pPr>
          </w:p>
          <w:p w14:paraId="551B296F" w14:textId="0E117985" w:rsidR="003E4F01" w:rsidRPr="006159BE" w:rsidRDefault="003E4F01" w:rsidP="009610C2">
            <w:pPr>
              <w:rPr>
                <w:rFonts w:ascii="Arial" w:hAnsi="Arial" w:cs="Arial"/>
                <w:b/>
                <w:sz w:val="24"/>
                <w:szCs w:val="24"/>
              </w:rPr>
            </w:pPr>
          </w:p>
          <w:p w14:paraId="4F6F8FE6" w14:textId="05F04752" w:rsidR="003E4F01" w:rsidRPr="006159BE" w:rsidRDefault="003E4F01" w:rsidP="009610C2">
            <w:pPr>
              <w:rPr>
                <w:rFonts w:ascii="Arial" w:hAnsi="Arial" w:cs="Arial"/>
                <w:b/>
                <w:sz w:val="24"/>
                <w:szCs w:val="24"/>
              </w:rPr>
            </w:pPr>
          </w:p>
          <w:p w14:paraId="6DECC351" w14:textId="7BE796B9" w:rsidR="003E4F01" w:rsidRDefault="003E4F01" w:rsidP="009610C2">
            <w:pPr>
              <w:rPr>
                <w:rFonts w:ascii="Arial" w:hAnsi="Arial" w:cs="Arial"/>
                <w:b/>
                <w:sz w:val="24"/>
                <w:szCs w:val="24"/>
              </w:rPr>
            </w:pPr>
          </w:p>
          <w:p w14:paraId="7E8E27F8" w14:textId="2EA06389" w:rsidR="004718C5" w:rsidRDefault="004718C5" w:rsidP="009610C2">
            <w:pPr>
              <w:rPr>
                <w:rFonts w:ascii="Arial" w:hAnsi="Arial" w:cs="Arial"/>
                <w:b/>
                <w:sz w:val="24"/>
                <w:szCs w:val="24"/>
              </w:rPr>
            </w:pPr>
          </w:p>
          <w:p w14:paraId="5A173DC8" w14:textId="48AA18A4" w:rsidR="004718C5" w:rsidRDefault="004718C5" w:rsidP="009610C2">
            <w:pPr>
              <w:rPr>
                <w:rFonts w:ascii="Arial" w:hAnsi="Arial" w:cs="Arial"/>
                <w:b/>
                <w:sz w:val="24"/>
                <w:szCs w:val="24"/>
              </w:rPr>
            </w:pPr>
          </w:p>
          <w:p w14:paraId="40803680" w14:textId="11B7AE0F" w:rsidR="004718C5" w:rsidRDefault="004718C5" w:rsidP="009610C2">
            <w:pPr>
              <w:rPr>
                <w:rFonts w:ascii="Arial" w:hAnsi="Arial" w:cs="Arial"/>
                <w:b/>
                <w:sz w:val="24"/>
                <w:szCs w:val="24"/>
              </w:rPr>
            </w:pPr>
          </w:p>
          <w:p w14:paraId="4E9D3BF5" w14:textId="0111FCED" w:rsidR="004718C5" w:rsidRDefault="004718C5" w:rsidP="009610C2">
            <w:pPr>
              <w:rPr>
                <w:rFonts w:ascii="Arial" w:hAnsi="Arial" w:cs="Arial"/>
                <w:b/>
                <w:sz w:val="24"/>
                <w:szCs w:val="24"/>
              </w:rPr>
            </w:pPr>
          </w:p>
          <w:p w14:paraId="2A20B830" w14:textId="4446C3BC" w:rsidR="004718C5" w:rsidRDefault="004718C5" w:rsidP="009610C2">
            <w:pPr>
              <w:rPr>
                <w:rFonts w:ascii="Arial" w:hAnsi="Arial" w:cs="Arial"/>
                <w:b/>
                <w:sz w:val="24"/>
                <w:szCs w:val="24"/>
              </w:rPr>
            </w:pPr>
          </w:p>
          <w:p w14:paraId="69CFCE69" w14:textId="642E82D6" w:rsidR="004718C5" w:rsidRDefault="004718C5" w:rsidP="009610C2">
            <w:pPr>
              <w:rPr>
                <w:rFonts w:ascii="Arial" w:hAnsi="Arial" w:cs="Arial"/>
                <w:b/>
                <w:sz w:val="24"/>
                <w:szCs w:val="24"/>
              </w:rPr>
            </w:pPr>
          </w:p>
          <w:p w14:paraId="675E2CC6" w14:textId="22E88A63" w:rsidR="004718C5" w:rsidRDefault="004718C5" w:rsidP="009610C2">
            <w:pPr>
              <w:rPr>
                <w:rFonts w:ascii="Arial" w:hAnsi="Arial" w:cs="Arial"/>
                <w:b/>
                <w:sz w:val="24"/>
                <w:szCs w:val="24"/>
              </w:rPr>
            </w:pPr>
          </w:p>
          <w:p w14:paraId="4E11C55E" w14:textId="1ACD72FA" w:rsidR="004718C5" w:rsidRDefault="004718C5" w:rsidP="009610C2">
            <w:pPr>
              <w:rPr>
                <w:rFonts w:ascii="Arial" w:hAnsi="Arial" w:cs="Arial"/>
                <w:b/>
                <w:sz w:val="24"/>
                <w:szCs w:val="24"/>
              </w:rPr>
            </w:pPr>
          </w:p>
          <w:p w14:paraId="56C0B3C4" w14:textId="39BD42F7" w:rsidR="004718C5" w:rsidRDefault="004718C5" w:rsidP="009610C2">
            <w:pPr>
              <w:rPr>
                <w:rFonts w:ascii="Arial" w:hAnsi="Arial" w:cs="Arial"/>
                <w:b/>
                <w:sz w:val="24"/>
                <w:szCs w:val="24"/>
              </w:rPr>
            </w:pPr>
          </w:p>
          <w:p w14:paraId="2CBED2A0" w14:textId="2FA3163F" w:rsidR="004718C5" w:rsidRDefault="004718C5" w:rsidP="009610C2">
            <w:pPr>
              <w:rPr>
                <w:rFonts w:ascii="Arial" w:hAnsi="Arial" w:cs="Arial"/>
                <w:b/>
                <w:sz w:val="24"/>
                <w:szCs w:val="24"/>
              </w:rPr>
            </w:pPr>
          </w:p>
          <w:p w14:paraId="1E994BBA" w14:textId="79FAD411" w:rsidR="004718C5" w:rsidRDefault="004718C5" w:rsidP="009610C2">
            <w:pPr>
              <w:rPr>
                <w:rFonts w:ascii="Arial" w:hAnsi="Arial" w:cs="Arial"/>
                <w:b/>
                <w:sz w:val="24"/>
                <w:szCs w:val="24"/>
              </w:rPr>
            </w:pPr>
          </w:p>
          <w:p w14:paraId="26A6848B" w14:textId="5D377F6B" w:rsidR="004718C5" w:rsidRDefault="004718C5" w:rsidP="009610C2">
            <w:pPr>
              <w:rPr>
                <w:rFonts w:ascii="Arial" w:hAnsi="Arial" w:cs="Arial"/>
                <w:b/>
                <w:sz w:val="24"/>
                <w:szCs w:val="24"/>
              </w:rPr>
            </w:pPr>
          </w:p>
          <w:p w14:paraId="35200B2E" w14:textId="2959BF5A" w:rsidR="004718C5" w:rsidRDefault="004718C5" w:rsidP="009610C2">
            <w:pPr>
              <w:rPr>
                <w:rFonts w:ascii="Arial" w:hAnsi="Arial" w:cs="Arial"/>
                <w:b/>
                <w:sz w:val="24"/>
                <w:szCs w:val="24"/>
              </w:rPr>
            </w:pPr>
          </w:p>
          <w:p w14:paraId="730E98CA" w14:textId="120866F6" w:rsidR="004718C5" w:rsidRDefault="004718C5" w:rsidP="009610C2">
            <w:pPr>
              <w:rPr>
                <w:rFonts w:ascii="Arial" w:hAnsi="Arial" w:cs="Arial"/>
                <w:b/>
                <w:sz w:val="24"/>
                <w:szCs w:val="24"/>
              </w:rPr>
            </w:pPr>
          </w:p>
          <w:p w14:paraId="67629C4B" w14:textId="4D12DA8A" w:rsidR="004718C5" w:rsidRDefault="004718C5" w:rsidP="009610C2">
            <w:pPr>
              <w:rPr>
                <w:rFonts w:ascii="Arial" w:hAnsi="Arial" w:cs="Arial"/>
                <w:b/>
                <w:sz w:val="24"/>
                <w:szCs w:val="24"/>
              </w:rPr>
            </w:pPr>
          </w:p>
          <w:p w14:paraId="6756AC2F" w14:textId="03186EEE" w:rsidR="004718C5" w:rsidRDefault="004718C5" w:rsidP="009610C2">
            <w:pPr>
              <w:rPr>
                <w:rFonts w:ascii="Arial" w:hAnsi="Arial" w:cs="Arial"/>
                <w:b/>
                <w:sz w:val="24"/>
                <w:szCs w:val="24"/>
              </w:rPr>
            </w:pPr>
          </w:p>
          <w:p w14:paraId="5B644A7F" w14:textId="318AC028" w:rsidR="004718C5" w:rsidRDefault="004718C5" w:rsidP="009610C2">
            <w:pPr>
              <w:rPr>
                <w:rFonts w:ascii="Arial" w:hAnsi="Arial" w:cs="Arial"/>
                <w:b/>
                <w:sz w:val="24"/>
                <w:szCs w:val="24"/>
              </w:rPr>
            </w:pPr>
          </w:p>
          <w:p w14:paraId="32FA9D18" w14:textId="77777777" w:rsidR="004718C5" w:rsidRPr="006159BE" w:rsidRDefault="004718C5" w:rsidP="009610C2">
            <w:pPr>
              <w:rPr>
                <w:rFonts w:ascii="Arial" w:hAnsi="Arial" w:cs="Arial"/>
                <w:b/>
                <w:sz w:val="24"/>
                <w:szCs w:val="24"/>
              </w:rPr>
            </w:pPr>
          </w:p>
          <w:p w14:paraId="452CB17B" w14:textId="5EA1978B" w:rsidR="003E4F01" w:rsidRPr="006159BE" w:rsidRDefault="003E4F01" w:rsidP="009610C2">
            <w:pPr>
              <w:rPr>
                <w:rFonts w:ascii="Arial" w:hAnsi="Arial" w:cs="Arial"/>
                <w:b/>
                <w:sz w:val="24"/>
                <w:szCs w:val="24"/>
              </w:rPr>
            </w:pPr>
          </w:p>
          <w:p w14:paraId="6C9ED888" w14:textId="24E5C681" w:rsidR="003E4F01" w:rsidRPr="006159BE" w:rsidRDefault="003E4F01" w:rsidP="009610C2">
            <w:pPr>
              <w:rPr>
                <w:rFonts w:ascii="Arial" w:hAnsi="Arial" w:cs="Arial"/>
                <w:b/>
                <w:sz w:val="24"/>
                <w:szCs w:val="24"/>
              </w:rPr>
            </w:pPr>
          </w:p>
          <w:p w14:paraId="1DFD0853" w14:textId="0F351A3E" w:rsidR="003E4F01" w:rsidRPr="006159BE" w:rsidRDefault="003E4F01" w:rsidP="009610C2">
            <w:pPr>
              <w:rPr>
                <w:rFonts w:ascii="Arial" w:hAnsi="Arial" w:cs="Arial"/>
                <w:b/>
                <w:sz w:val="24"/>
                <w:szCs w:val="24"/>
              </w:rPr>
            </w:pPr>
          </w:p>
          <w:p w14:paraId="033C77F2" w14:textId="41D233F7" w:rsidR="003E4F01" w:rsidRPr="006159BE" w:rsidRDefault="003E4F01" w:rsidP="009610C2">
            <w:pPr>
              <w:rPr>
                <w:rFonts w:ascii="Arial" w:hAnsi="Arial" w:cs="Arial"/>
                <w:b/>
                <w:sz w:val="24"/>
                <w:szCs w:val="24"/>
              </w:rPr>
            </w:pPr>
          </w:p>
          <w:sdt>
            <w:sdtPr>
              <w:rPr>
                <w:lang w:val="fr-FR"/>
              </w:rPr>
              <w:id w:val="2085332055"/>
              <w:docPartObj>
                <w:docPartGallery w:val="Table of Contents"/>
                <w:docPartUnique/>
              </w:docPartObj>
            </w:sdtPr>
            <w:sdtEndPr>
              <w:rPr>
                <w:rFonts w:ascii="Times New Roman" w:eastAsia="Times New Roman" w:hAnsi="Times New Roman" w:cs="Times New Roman"/>
                <w:noProof/>
                <w:color w:val="auto"/>
                <w:sz w:val="22"/>
                <w:szCs w:val="22"/>
                <w:lang w:val="fr-BE"/>
              </w:rPr>
            </w:sdtEndPr>
            <w:sdtContent>
              <w:p w14:paraId="45C2A602" w14:textId="24BE934F" w:rsidR="004718C5" w:rsidRDefault="004718C5">
                <w:pPr>
                  <w:pStyle w:val="En-ttedetabledesmatires"/>
                </w:pPr>
                <w:r>
                  <w:rPr>
                    <w:lang w:val="fr-FR"/>
                  </w:rPr>
                  <w:t>Table des matières</w:t>
                </w:r>
              </w:p>
              <w:p w14:paraId="00816294" w14:textId="0F79A28F" w:rsidR="004718C5" w:rsidRDefault="004718C5">
                <w:pPr>
                  <w:pStyle w:val="TM1"/>
                  <w:tabs>
                    <w:tab w:val="right" w:pos="9062"/>
                  </w:tabs>
                  <w:rPr>
                    <w:rFonts w:eastAsiaTheme="minorEastAsia" w:cstheme="minorBidi"/>
                    <w:b w:val="0"/>
                    <w:bCs w:val="0"/>
                    <w:i w:val="0"/>
                    <w:iCs w:val="0"/>
                    <w:noProof/>
                  </w:rPr>
                </w:pPr>
                <w:r>
                  <w:rPr>
                    <w:b w:val="0"/>
                    <w:bCs w:val="0"/>
                  </w:rPr>
                  <w:fldChar w:fldCharType="begin"/>
                </w:r>
                <w:r>
                  <w:instrText>TOC \o "1-3" \h \z \u</w:instrText>
                </w:r>
                <w:r>
                  <w:rPr>
                    <w:b w:val="0"/>
                    <w:bCs w:val="0"/>
                  </w:rPr>
                  <w:fldChar w:fldCharType="separate"/>
                </w:r>
                <w:hyperlink w:anchor="_Toc111586371" w:history="1">
                  <w:r w:rsidRPr="009A2C8D">
                    <w:rPr>
                      <w:rStyle w:val="Lienhypertexte"/>
                      <w:noProof/>
                    </w:rPr>
                    <w:t>La nécropolitique d’Achille Mbembe</w:t>
                  </w:r>
                  <w:r>
                    <w:rPr>
                      <w:noProof/>
                      <w:webHidden/>
                    </w:rPr>
                    <w:tab/>
                  </w:r>
                  <w:r>
                    <w:rPr>
                      <w:noProof/>
                      <w:webHidden/>
                    </w:rPr>
                    <w:fldChar w:fldCharType="begin"/>
                  </w:r>
                  <w:r>
                    <w:rPr>
                      <w:noProof/>
                      <w:webHidden/>
                    </w:rPr>
                    <w:instrText xml:space="preserve"> PAGEREF _Toc111586371 \h </w:instrText>
                  </w:r>
                  <w:r>
                    <w:rPr>
                      <w:noProof/>
                      <w:webHidden/>
                    </w:rPr>
                  </w:r>
                  <w:r>
                    <w:rPr>
                      <w:noProof/>
                      <w:webHidden/>
                    </w:rPr>
                    <w:fldChar w:fldCharType="separate"/>
                  </w:r>
                  <w:r>
                    <w:rPr>
                      <w:noProof/>
                      <w:webHidden/>
                    </w:rPr>
                    <w:t>3</w:t>
                  </w:r>
                  <w:r>
                    <w:rPr>
                      <w:noProof/>
                      <w:webHidden/>
                    </w:rPr>
                    <w:fldChar w:fldCharType="end"/>
                  </w:r>
                </w:hyperlink>
              </w:p>
              <w:p w14:paraId="7EAF6AC1" w14:textId="1F0F0426" w:rsidR="004718C5" w:rsidRDefault="004718C5">
                <w:pPr>
                  <w:pStyle w:val="TM1"/>
                  <w:tabs>
                    <w:tab w:val="right" w:pos="9062"/>
                  </w:tabs>
                  <w:rPr>
                    <w:rFonts w:eastAsiaTheme="minorEastAsia" w:cstheme="minorBidi"/>
                    <w:b w:val="0"/>
                    <w:bCs w:val="0"/>
                    <w:i w:val="0"/>
                    <w:iCs w:val="0"/>
                    <w:noProof/>
                  </w:rPr>
                </w:pPr>
                <w:hyperlink w:anchor="_Toc111586372" w:history="1">
                  <w:r w:rsidRPr="009A2C8D">
                    <w:rPr>
                      <w:rStyle w:val="Lienhypertexte"/>
                      <w:noProof/>
                    </w:rPr>
                    <w:t>La sociologie des migrations et ce qu’elle enseigne sur le traitement réservé aux immigrés</w:t>
                  </w:r>
                  <w:r>
                    <w:rPr>
                      <w:noProof/>
                      <w:webHidden/>
                    </w:rPr>
                    <w:tab/>
                  </w:r>
                  <w:r>
                    <w:rPr>
                      <w:noProof/>
                      <w:webHidden/>
                    </w:rPr>
                    <w:fldChar w:fldCharType="begin"/>
                  </w:r>
                  <w:r>
                    <w:rPr>
                      <w:noProof/>
                      <w:webHidden/>
                    </w:rPr>
                    <w:instrText xml:space="preserve"> PAGEREF _Toc111586372 \h </w:instrText>
                  </w:r>
                  <w:r>
                    <w:rPr>
                      <w:noProof/>
                      <w:webHidden/>
                    </w:rPr>
                  </w:r>
                  <w:r>
                    <w:rPr>
                      <w:noProof/>
                      <w:webHidden/>
                    </w:rPr>
                    <w:fldChar w:fldCharType="separate"/>
                  </w:r>
                  <w:r>
                    <w:rPr>
                      <w:noProof/>
                      <w:webHidden/>
                    </w:rPr>
                    <w:t>7</w:t>
                  </w:r>
                  <w:r>
                    <w:rPr>
                      <w:noProof/>
                      <w:webHidden/>
                    </w:rPr>
                    <w:fldChar w:fldCharType="end"/>
                  </w:r>
                </w:hyperlink>
              </w:p>
              <w:p w14:paraId="2A9F67A6" w14:textId="1FF059F6" w:rsidR="004718C5" w:rsidRDefault="004718C5">
                <w:pPr>
                  <w:pStyle w:val="TM1"/>
                  <w:tabs>
                    <w:tab w:val="right" w:pos="9062"/>
                  </w:tabs>
                  <w:rPr>
                    <w:rFonts w:eastAsiaTheme="minorEastAsia" w:cstheme="minorBidi"/>
                    <w:b w:val="0"/>
                    <w:bCs w:val="0"/>
                    <w:i w:val="0"/>
                    <w:iCs w:val="0"/>
                    <w:noProof/>
                  </w:rPr>
                </w:pPr>
                <w:hyperlink w:anchor="_Toc111586373" w:history="1">
                  <w:r w:rsidRPr="009A2C8D">
                    <w:rPr>
                      <w:rStyle w:val="Lienhypertexte"/>
                      <w:noProof/>
                    </w:rPr>
                    <w:t>Historique des régularisations en Belgique</w:t>
                  </w:r>
                  <w:r>
                    <w:rPr>
                      <w:noProof/>
                      <w:webHidden/>
                    </w:rPr>
                    <w:tab/>
                  </w:r>
                  <w:r>
                    <w:rPr>
                      <w:noProof/>
                      <w:webHidden/>
                    </w:rPr>
                    <w:fldChar w:fldCharType="begin"/>
                  </w:r>
                  <w:r>
                    <w:rPr>
                      <w:noProof/>
                      <w:webHidden/>
                    </w:rPr>
                    <w:instrText xml:space="preserve"> PAGEREF _Toc111586373 \h </w:instrText>
                  </w:r>
                  <w:r>
                    <w:rPr>
                      <w:noProof/>
                      <w:webHidden/>
                    </w:rPr>
                  </w:r>
                  <w:r>
                    <w:rPr>
                      <w:noProof/>
                      <w:webHidden/>
                    </w:rPr>
                    <w:fldChar w:fldCharType="separate"/>
                  </w:r>
                  <w:r>
                    <w:rPr>
                      <w:noProof/>
                      <w:webHidden/>
                    </w:rPr>
                    <w:t>11</w:t>
                  </w:r>
                  <w:r>
                    <w:rPr>
                      <w:noProof/>
                      <w:webHidden/>
                    </w:rPr>
                    <w:fldChar w:fldCharType="end"/>
                  </w:r>
                </w:hyperlink>
              </w:p>
              <w:p w14:paraId="40582226" w14:textId="56886A5F" w:rsidR="004718C5" w:rsidRDefault="004718C5">
                <w:pPr>
                  <w:pStyle w:val="TM1"/>
                  <w:tabs>
                    <w:tab w:val="right" w:pos="9062"/>
                  </w:tabs>
                  <w:rPr>
                    <w:rFonts w:eastAsiaTheme="minorEastAsia" w:cstheme="minorBidi"/>
                    <w:b w:val="0"/>
                    <w:bCs w:val="0"/>
                    <w:i w:val="0"/>
                    <w:iCs w:val="0"/>
                    <w:noProof/>
                  </w:rPr>
                </w:pPr>
                <w:hyperlink w:anchor="_Toc111586374" w:history="1">
                  <w:r w:rsidRPr="009A2C8D">
                    <w:rPr>
                      <w:rStyle w:val="Lienhypertexte"/>
                      <w:noProof/>
                    </w:rPr>
                    <w:t>Les personnes migrantes face à la police</w:t>
                  </w:r>
                  <w:r>
                    <w:rPr>
                      <w:noProof/>
                      <w:webHidden/>
                    </w:rPr>
                    <w:tab/>
                  </w:r>
                  <w:r>
                    <w:rPr>
                      <w:noProof/>
                      <w:webHidden/>
                    </w:rPr>
                    <w:fldChar w:fldCharType="begin"/>
                  </w:r>
                  <w:r>
                    <w:rPr>
                      <w:noProof/>
                      <w:webHidden/>
                    </w:rPr>
                    <w:instrText xml:space="preserve"> PAGEREF _Toc111586374 \h </w:instrText>
                  </w:r>
                  <w:r>
                    <w:rPr>
                      <w:noProof/>
                      <w:webHidden/>
                    </w:rPr>
                  </w:r>
                  <w:r>
                    <w:rPr>
                      <w:noProof/>
                      <w:webHidden/>
                    </w:rPr>
                    <w:fldChar w:fldCharType="separate"/>
                  </w:r>
                  <w:r>
                    <w:rPr>
                      <w:noProof/>
                      <w:webHidden/>
                    </w:rPr>
                    <w:t>12</w:t>
                  </w:r>
                  <w:r>
                    <w:rPr>
                      <w:noProof/>
                      <w:webHidden/>
                    </w:rPr>
                    <w:fldChar w:fldCharType="end"/>
                  </w:r>
                </w:hyperlink>
              </w:p>
              <w:p w14:paraId="1022D34A" w14:textId="58B42C88" w:rsidR="004718C5" w:rsidRDefault="004718C5">
                <w:pPr>
                  <w:pStyle w:val="TM1"/>
                  <w:tabs>
                    <w:tab w:val="right" w:pos="9062"/>
                  </w:tabs>
                  <w:rPr>
                    <w:rFonts w:eastAsiaTheme="minorEastAsia" w:cstheme="minorBidi"/>
                    <w:b w:val="0"/>
                    <w:bCs w:val="0"/>
                    <w:i w:val="0"/>
                    <w:iCs w:val="0"/>
                    <w:noProof/>
                  </w:rPr>
                </w:pPr>
                <w:hyperlink w:anchor="_Toc111586375" w:history="1">
                  <w:r w:rsidRPr="009A2C8D">
                    <w:rPr>
                      <w:rStyle w:val="Lienhypertexte"/>
                      <w:noProof/>
                    </w:rPr>
                    <w:t>Les descendants de l’immigration dans le viseur</w:t>
                  </w:r>
                  <w:r>
                    <w:rPr>
                      <w:noProof/>
                      <w:webHidden/>
                    </w:rPr>
                    <w:tab/>
                  </w:r>
                  <w:r>
                    <w:rPr>
                      <w:noProof/>
                      <w:webHidden/>
                    </w:rPr>
                    <w:fldChar w:fldCharType="begin"/>
                  </w:r>
                  <w:r>
                    <w:rPr>
                      <w:noProof/>
                      <w:webHidden/>
                    </w:rPr>
                    <w:instrText xml:space="preserve"> PAGEREF _Toc111586375 \h </w:instrText>
                  </w:r>
                  <w:r>
                    <w:rPr>
                      <w:noProof/>
                      <w:webHidden/>
                    </w:rPr>
                  </w:r>
                  <w:r>
                    <w:rPr>
                      <w:noProof/>
                      <w:webHidden/>
                    </w:rPr>
                    <w:fldChar w:fldCharType="separate"/>
                  </w:r>
                  <w:r>
                    <w:rPr>
                      <w:noProof/>
                      <w:webHidden/>
                    </w:rPr>
                    <w:t>15</w:t>
                  </w:r>
                  <w:r>
                    <w:rPr>
                      <w:noProof/>
                      <w:webHidden/>
                    </w:rPr>
                    <w:fldChar w:fldCharType="end"/>
                  </w:r>
                </w:hyperlink>
              </w:p>
              <w:p w14:paraId="23107C4D" w14:textId="7689A18D" w:rsidR="004718C5" w:rsidRDefault="004718C5">
                <w:pPr>
                  <w:pStyle w:val="TM1"/>
                  <w:tabs>
                    <w:tab w:val="right" w:pos="9062"/>
                  </w:tabs>
                  <w:rPr>
                    <w:rFonts w:eastAsiaTheme="minorEastAsia" w:cstheme="minorBidi"/>
                    <w:b w:val="0"/>
                    <w:bCs w:val="0"/>
                    <w:i w:val="0"/>
                    <w:iCs w:val="0"/>
                    <w:noProof/>
                  </w:rPr>
                </w:pPr>
                <w:hyperlink w:anchor="_Toc111586376" w:history="1">
                  <w:r w:rsidRPr="009A2C8D">
                    <w:rPr>
                      <w:rStyle w:val="Lienhypertexte"/>
                      <w:noProof/>
                    </w:rPr>
                    <w:t>La nécropolitique, bel et bien enracinée dans les institutions belges ?</w:t>
                  </w:r>
                  <w:r>
                    <w:rPr>
                      <w:noProof/>
                      <w:webHidden/>
                    </w:rPr>
                    <w:tab/>
                  </w:r>
                  <w:r>
                    <w:rPr>
                      <w:noProof/>
                      <w:webHidden/>
                    </w:rPr>
                    <w:fldChar w:fldCharType="begin"/>
                  </w:r>
                  <w:r>
                    <w:rPr>
                      <w:noProof/>
                      <w:webHidden/>
                    </w:rPr>
                    <w:instrText xml:space="preserve"> PAGEREF _Toc111586376 \h </w:instrText>
                  </w:r>
                  <w:r>
                    <w:rPr>
                      <w:noProof/>
                      <w:webHidden/>
                    </w:rPr>
                  </w:r>
                  <w:r>
                    <w:rPr>
                      <w:noProof/>
                      <w:webHidden/>
                    </w:rPr>
                    <w:fldChar w:fldCharType="separate"/>
                  </w:r>
                  <w:r>
                    <w:rPr>
                      <w:noProof/>
                      <w:webHidden/>
                    </w:rPr>
                    <w:t>18</w:t>
                  </w:r>
                  <w:r>
                    <w:rPr>
                      <w:noProof/>
                      <w:webHidden/>
                    </w:rPr>
                    <w:fldChar w:fldCharType="end"/>
                  </w:r>
                </w:hyperlink>
              </w:p>
              <w:p w14:paraId="4A7D5536" w14:textId="525F0C29" w:rsidR="004718C5" w:rsidRDefault="004718C5">
                <w:pPr>
                  <w:pStyle w:val="TM1"/>
                  <w:tabs>
                    <w:tab w:val="right" w:pos="9062"/>
                  </w:tabs>
                  <w:rPr>
                    <w:rFonts w:eastAsiaTheme="minorEastAsia" w:cstheme="minorBidi"/>
                    <w:b w:val="0"/>
                    <w:bCs w:val="0"/>
                    <w:i w:val="0"/>
                    <w:iCs w:val="0"/>
                    <w:noProof/>
                  </w:rPr>
                </w:pPr>
                <w:hyperlink w:anchor="_Toc111586377" w:history="1">
                  <w:r w:rsidRPr="009A2C8D">
                    <w:rPr>
                      <w:rStyle w:val="Lienhypertexte"/>
                      <w:noProof/>
                    </w:rPr>
                    <w:t>Conclusion</w:t>
                  </w:r>
                  <w:r>
                    <w:rPr>
                      <w:noProof/>
                      <w:webHidden/>
                    </w:rPr>
                    <w:tab/>
                  </w:r>
                  <w:r>
                    <w:rPr>
                      <w:noProof/>
                      <w:webHidden/>
                    </w:rPr>
                    <w:fldChar w:fldCharType="begin"/>
                  </w:r>
                  <w:r>
                    <w:rPr>
                      <w:noProof/>
                      <w:webHidden/>
                    </w:rPr>
                    <w:instrText xml:space="preserve"> PAGEREF _Toc111586377 \h </w:instrText>
                  </w:r>
                  <w:r>
                    <w:rPr>
                      <w:noProof/>
                      <w:webHidden/>
                    </w:rPr>
                  </w:r>
                  <w:r>
                    <w:rPr>
                      <w:noProof/>
                      <w:webHidden/>
                    </w:rPr>
                    <w:fldChar w:fldCharType="separate"/>
                  </w:r>
                  <w:r>
                    <w:rPr>
                      <w:noProof/>
                      <w:webHidden/>
                    </w:rPr>
                    <w:t>19</w:t>
                  </w:r>
                  <w:r>
                    <w:rPr>
                      <w:noProof/>
                      <w:webHidden/>
                    </w:rPr>
                    <w:fldChar w:fldCharType="end"/>
                  </w:r>
                </w:hyperlink>
              </w:p>
              <w:p w14:paraId="453ADE25" w14:textId="0543CCDC" w:rsidR="004718C5" w:rsidRDefault="004718C5">
                <w:pPr>
                  <w:pStyle w:val="TM1"/>
                  <w:tabs>
                    <w:tab w:val="right" w:pos="9062"/>
                  </w:tabs>
                  <w:rPr>
                    <w:rFonts w:eastAsiaTheme="minorEastAsia" w:cstheme="minorBidi"/>
                    <w:b w:val="0"/>
                    <w:bCs w:val="0"/>
                    <w:i w:val="0"/>
                    <w:iCs w:val="0"/>
                    <w:noProof/>
                  </w:rPr>
                </w:pPr>
                <w:hyperlink w:anchor="_Toc111586378" w:history="1">
                  <w:r w:rsidRPr="009A2C8D">
                    <w:rPr>
                      <w:rStyle w:val="Lienhypertexte"/>
                      <w:noProof/>
                    </w:rPr>
                    <w:t>Bibliographie</w:t>
                  </w:r>
                  <w:r>
                    <w:rPr>
                      <w:noProof/>
                      <w:webHidden/>
                    </w:rPr>
                    <w:tab/>
                  </w:r>
                  <w:r>
                    <w:rPr>
                      <w:noProof/>
                      <w:webHidden/>
                    </w:rPr>
                    <w:fldChar w:fldCharType="begin"/>
                  </w:r>
                  <w:r>
                    <w:rPr>
                      <w:noProof/>
                      <w:webHidden/>
                    </w:rPr>
                    <w:instrText xml:space="preserve"> PAGEREF _Toc111586378 \h </w:instrText>
                  </w:r>
                  <w:r>
                    <w:rPr>
                      <w:noProof/>
                      <w:webHidden/>
                    </w:rPr>
                  </w:r>
                  <w:r>
                    <w:rPr>
                      <w:noProof/>
                      <w:webHidden/>
                    </w:rPr>
                    <w:fldChar w:fldCharType="separate"/>
                  </w:r>
                  <w:r>
                    <w:rPr>
                      <w:noProof/>
                      <w:webHidden/>
                    </w:rPr>
                    <w:t>20</w:t>
                  </w:r>
                  <w:r>
                    <w:rPr>
                      <w:noProof/>
                      <w:webHidden/>
                    </w:rPr>
                    <w:fldChar w:fldCharType="end"/>
                  </w:r>
                </w:hyperlink>
              </w:p>
              <w:p w14:paraId="57676EDF" w14:textId="1516BF88" w:rsidR="004718C5" w:rsidRDefault="004718C5">
                <w:r>
                  <w:rPr>
                    <w:b/>
                    <w:bCs/>
                    <w:noProof/>
                  </w:rPr>
                  <w:fldChar w:fldCharType="end"/>
                </w:r>
              </w:p>
            </w:sdtContent>
          </w:sdt>
          <w:p w14:paraId="3820554A" w14:textId="4B74B819" w:rsidR="003E4F01" w:rsidRPr="006159BE" w:rsidRDefault="003E4F01" w:rsidP="009610C2">
            <w:pPr>
              <w:rPr>
                <w:rFonts w:ascii="Arial" w:hAnsi="Arial" w:cs="Arial"/>
                <w:b/>
                <w:sz w:val="24"/>
                <w:szCs w:val="24"/>
              </w:rPr>
            </w:pPr>
          </w:p>
          <w:p w14:paraId="57C7641B" w14:textId="17585586" w:rsidR="003E4F01" w:rsidRPr="006159BE" w:rsidRDefault="003E4F01" w:rsidP="009610C2">
            <w:pPr>
              <w:rPr>
                <w:rFonts w:ascii="Arial" w:hAnsi="Arial" w:cs="Arial"/>
                <w:b/>
                <w:sz w:val="24"/>
                <w:szCs w:val="24"/>
              </w:rPr>
            </w:pPr>
          </w:p>
          <w:p w14:paraId="32D5B6DE" w14:textId="77777777" w:rsidR="003E4F01" w:rsidRPr="006159BE" w:rsidRDefault="003E4F01" w:rsidP="009610C2">
            <w:pPr>
              <w:rPr>
                <w:rFonts w:ascii="Arial" w:hAnsi="Arial" w:cs="Arial"/>
                <w:b/>
                <w:sz w:val="24"/>
                <w:szCs w:val="24"/>
              </w:rPr>
            </w:pPr>
          </w:p>
          <w:p w14:paraId="5AF0A574" w14:textId="5D08488D" w:rsidR="0038353E" w:rsidRPr="006159BE" w:rsidRDefault="0038353E" w:rsidP="009610C2">
            <w:pPr>
              <w:rPr>
                <w:rFonts w:ascii="Arial" w:hAnsi="Arial" w:cs="Arial"/>
                <w:b/>
                <w:sz w:val="24"/>
                <w:szCs w:val="24"/>
              </w:rPr>
            </w:pPr>
          </w:p>
          <w:p w14:paraId="76E4E5CB" w14:textId="77777777" w:rsidR="0020731C" w:rsidRPr="006159BE" w:rsidRDefault="0020731C" w:rsidP="0038353E">
            <w:pPr>
              <w:spacing w:line="360" w:lineRule="auto"/>
              <w:jc w:val="both"/>
              <w:rPr>
                <w:rFonts w:ascii="Times" w:hAnsi="Times"/>
                <w:sz w:val="24"/>
                <w:szCs w:val="24"/>
              </w:rPr>
            </w:pPr>
          </w:p>
          <w:p w14:paraId="1AAB0A2B" w14:textId="77777777" w:rsidR="0020731C" w:rsidRPr="006159BE" w:rsidRDefault="0020731C" w:rsidP="0038353E">
            <w:pPr>
              <w:spacing w:line="360" w:lineRule="auto"/>
              <w:jc w:val="both"/>
              <w:rPr>
                <w:rFonts w:ascii="Times" w:hAnsi="Times"/>
                <w:sz w:val="24"/>
                <w:szCs w:val="24"/>
              </w:rPr>
            </w:pPr>
          </w:p>
          <w:p w14:paraId="783AD8B4" w14:textId="53695E09" w:rsidR="0020731C" w:rsidRDefault="0020731C" w:rsidP="0038353E">
            <w:pPr>
              <w:spacing w:line="360" w:lineRule="auto"/>
              <w:jc w:val="both"/>
              <w:rPr>
                <w:rFonts w:ascii="Times" w:hAnsi="Times"/>
                <w:sz w:val="24"/>
                <w:szCs w:val="24"/>
              </w:rPr>
            </w:pPr>
          </w:p>
          <w:p w14:paraId="0C496194" w14:textId="76312A3A" w:rsidR="004718C5" w:rsidRDefault="004718C5" w:rsidP="0038353E">
            <w:pPr>
              <w:spacing w:line="360" w:lineRule="auto"/>
              <w:jc w:val="both"/>
              <w:rPr>
                <w:rFonts w:ascii="Times" w:hAnsi="Times"/>
                <w:sz w:val="24"/>
                <w:szCs w:val="24"/>
              </w:rPr>
            </w:pPr>
          </w:p>
          <w:p w14:paraId="572DED81" w14:textId="17FD4036" w:rsidR="004718C5" w:rsidRDefault="004718C5" w:rsidP="0038353E">
            <w:pPr>
              <w:spacing w:line="360" w:lineRule="auto"/>
              <w:jc w:val="both"/>
              <w:rPr>
                <w:rFonts w:ascii="Times" w:hAnsi="Times"/>
                <w:sz w:val="24"/>
                <w:szCs w:val="24"/>
              </w:rPr>
            </w:pPr>
          </w:p>
          <w:p w14:paraId="699522FE" w14:textId="196C6023" w:rsidR="004718C5" w:rsidRDefault="004718C5" w:rsidP="0038353E">
            <w:pPr>
              <w:spacing w:line="360" w:lineRule="auto"/>
              <w:jc w:val="both"/>
              <w:rPr>
                <w:rFonts w:ascii="Times" w:hAnsi="Times"/>
                <w:sz w:val="24"/>
                <w:szCs w:val="24"/>
              </w:rPr>
            </w:pPr>
          </w:p>
          <w:p w14:paraId="6DB0EDD6" w14:textId="37A123C1" w:rsidR="004718C5" w:rsidRDefault="004718C5" w:rsidP="0038353E">
            <w:pPr>
              <w:spacing w:line="360" w:lineRule="auto"/>
              <w:jc w:val="both"/>
              <w:rPr>
                <w:rFonts w:ascii="Times" w:hAnsi="Times"/>
                <w:sz w:val="24"/>
                <w:szCs w:val="24"/>
              </w:rPr>
            </w:pPr>
          </w:p>
          <w:p w14:paraId="3BE56414" w14:textId="6A3D193F" w:rsidR="004718C5" w:rsidRDefault="004718C5" w:rsidP="0038353E">
            <w:pPr>
              <w:spacing w:line="360" w:lineRule="auto"/>
              <w:jc w:val="both"/>
              <w:rPr>
                <w:rFonts w:ascii="Times" w:hAnsi="Times"/>
                <w:sz w:val="24"/>
                <w:szCs w:val="24"/>
              </w:rPr>
            </w:pPr>
          </w:p>
          <w:p w14:paraId="44FE78C0" w14:textId="716B490B" w:rsidR="004718C5" w:rsidRDefault="004718C5" w:rsidP="0038353E">
            <w:pPr>
              <w:spacing w:line="360" w:lineRule="auto"/>
              <w:jc w:val="both"/>
              <w:rPr>
                <w:rFonts w:ascii="Times" w:hAnsi="Times"/>
                <w:sz w:val="24"/>
                <w:szCs w:val="24"/>
              </w:rPr>
            </w:pPr>
          </w:p>
          <w:p w14:paraId="3BDE2F65" w14:textId="79EECD39" w:rsidR="004718C5" w:rsidRDefault="004718C5" w:rsidP="0038353E">
            <w:pPr>
              <w:spacing w:line="360" w:lineRule="auto"/>
              <w:jc w:val="both"/>
              <w:rPr>
                <w:rFonts w:ascii="Times" w:hAnsi="Times"/>
                <w:sz w:val="24"/>
                <w:szCs w:val="24"/>
              </w:rPr>
            </w:pPr>
          </w:p>
          <w:p w14:paraId="59440542" w14:textId="063E64B2" w:rsidR="004718C5" w:rsidRDefault="004718C5" w:rsidP="0038353E">
            <w:pPr>
              <w:spacing w:line="360" w:lineRule="auto"/>
              <w:jc w:val="both"/>
              <w:rPr>
                <w:rFonts w:ascii="Times" w:hAnsi="Times"/>
                <w:sz w:val="24"/>
                <w:szCs w:val="24"/>
              </w:rPr>
            </w:pPr>
          </w:p>
          <w:p w14:paraId="22A9B3C4" w14:textId="63623B65" w:rsidR="004718C5" w:rsidRDefault="004718C5" w:rsidP="0038353E">
            <w:pPr>
              <w:spacing w:line="360" w:lineRule="auto"/>
              <w:jc w:val="both"/>
              <w:rPr>
                <w:rFonts w:ascii="Times" w:hAnsi="Times"/>
                <w:sz w:val="24"/>
                <w:szCs w:val="24"/>
              </w:rPr>
            </w:pPr>
          </w:p>
          <w:p w14:paraId="4A8D7FB0" w14:textId="31684F4A" w:rsidR="004718C5" w:rsidRDefault="004718C5" w:rsidP="0038353E">
            <w:pPr>
              <w:spacing w:line="360" w:lineRule="auto"/>
              <w:jc w:val="both"/>
              <w:rPr>
                <w:rFonts w:ascii="Times" w:hAnsi="Times"/>
                <w:sz w:val="24"/>
                <w:szCs w:val="24"/>
              </w:rPr>
            </w:pPr>
          </w:p>
          <w:p w14:paraId="09B6A73F" w14:textId="77777777" w:rsidR="004718C5" w:rsidRDefault="004718C5" w:rsidP="0038353E">
            <w:pPr>
              <w:spacing w:line="360" w:lineRule="auto"/>
              <w:jc w:val="both"/>
              <w:rPr>
                <w:rFonts w:ascii="Times" w:hAnsi="Times"/>
                <w:sz w:val="24"/>
                <w:szCs w:val="24"/>
              </w:rPr>
            </w:pPr>
          </w:p>
          <w:p w14:paraId="36A028AA" w14:textId="3944E0D8" w:rsidR="004718C5" w:rsidRDefault="004718C5" w:rsidP="0038353E">
            <w:pPr>
              <w:spacing w:line="360" w:lineRule="auto"/>
              <w:jc w:val="both"/>
              <w:rPr>
                <w:rFonts w:ascii="Times" w:hAnsi="Times"/>
                <w:sz w:val="24"/>
                <w:szCs w:val="24"/>
              </w:rPr>
            </w:pPr>
          </w:p>
          <w:p w14:paraId="22728534" w14:textId="1E6CE15A" w:rsidR="004718C5" w:rsidRDefault="004718C5" w:rsidP="0038353E">
            <w:pPr>
              <w:spacing w:line="360" w:lineRule="auto"/>
              <w:jc w:val="both"/>
              <w:rPr>
                <w:rFonts w:ascii="Times" w:hAnsi="Times"/>
                <w:sz w:val="24"/>
                <w:szCs w:val="24"/>
              </w:rPr>
            </w:pPr>
          </w:p>
          <w:p w14:paraId="520DFBC8" w14:textId="7D81096F" w:rsidR="004718C5" w:rsidRDefault="004718C5" w:rsidP="0038353E">
            <w:pPr>
              <w:spacing w:line="360" w:lineRule="auto"/>
              <w:jc w:val="both"/>
              <w:rPr>
                <w:rFonts w:ascii="Times" w:hAnsi="Times"/>
                <w:sz w:val="24"/>
                <w:szCs w:val="24"/>
              </w:rPr>
            </w:pPr>
          </w:p>
          <w:p w14:paraId="5A53E919" w14:textId="77777777" w:rsidR="004718C5" w:rsidRPr="006159BE" w:rsidRDefault="004718C5" w:rsidP="0038353E">
            <w:pPr>
              <w:spacing w:line="360" w:lineRule="auto"/>
              <w:jc w:val="both"/>
              <w:rPr>
                <w:rFonts w:ascii="Times" w:hAnsi="Times"/>
                <w:sz w:val="24"/>
                <w:szCs w:val="24"/>
              </w:rPr>
            </w:pPr>
          </w:p>
          <w:p w14:paraId="66958E09" w14:textId="77777777" w:rsidR="0020731C" w:rsidRPr="006159BE" w:rsidRDefault="0020731C" w:rsidP="0038353E">
            <w:pPr>
              <w:spacing w:line="360" w:lineRule="auto"/>
              <w:jc w:val="both"/>
              <w:rPr>
                <w:rFonts w:ascii="Times" w:hAnsi="Times"/>
                <w:sz w:val="24"/>
                <w:szCs w:val="24"/>
              </w:rPr>
            </w:pPr>
          </w:p>
          <w:p w14:paraId="766676CB" w14:textId="77777777" w:rsidR="0020731C" w:rsidRPr="006159BE" w:rsidRDefault="0020731C" w:rsidP="0038353E">
            <w:pPr>
              <w:spacing w:line="360" w:lineRule="auto"/>
              <w:jc w:val="both"/>
              <w:rPr>
                <w:rFonts w:ascii="Times" w:hAnsi="Times"/>
                <w:sz w:val="24"/>
                <w:szCs w:val="24"/>
              </w:rPr>
            </w:pPr>
          </w:p>
          <w:p w14:paraId="4FBECF56" w14:textId="6BB879C3" w:rsidR="006159BE" w:rsidRDefault="006159BE" w:rsidP="006159BE">
            <w:pPr>
              <w:pStyle w:val="Titre1"/>
              <w:outlineLvl w:val="0"/>
            </w:pPr>
            <w:bookmarkStart w:id="0" w:name="_Toc111585339"/>
            <w:bookmarkStart w:id="1" w:name="_Toc111586371"/>
            <w:r w:rsidRPr="006159BE">
              <w:lastRenderedPageBreak/>
              <w:t xml:space="preserve">La </w:t>
            </w:r>
            <w:proofErr w:type="spellStart"/>
            <w:r w:rsidRPr="006159BE">
              <w:t>nécropolitique</w:t>
            </w:r>
            <w:proofErr w:type="spellEnd"/>
            <w:r w:rsidRPr="006159BE">
              <w:t xml:space="preserve"> d’Achille </w:t>
            </w:r>
            <w:proofErr w:type="spellStart"/>
            <w:r w:rsidRPr="006159BE">
              <w:t>Mbembe</w:t>
            </w:r>
            <w:bookmarkEnd w:id="0"/>
            <w:bookmarkEnd w:id="1"/>
            <w:proofErr w:type="spellEnd"/>
          </w:p>
          <w:p w14:paraId="1F242E92" w14:textId="77777777" w:rsidR="006159BE" w:rsidRPr="006159BE" w:rsidRDefault="006159BE" w:rsidP="006159BE"/>
          <w:p w14:paraId="65F264B6" w14:textId="596DE163"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Achille </w:t>
            </w:r>
            <w:proofErr w:type="spellStart"/>
            <w:r w:rsidRPr="006159BE">
              <w:rPr>
                <w:rFonts w:ascii="Times" w:hAnsi="Times"/>
                <w:sz w:val="24"/>
                <w:szCs w:val="24"/>
              </w:rPr>
              <w:t>Mbembe</w:t>
            </w:r>
            <w:proofErr w:type="spellEnd"/>
            <w:r w:rsidRPr="006159BE">
              <w:rPr>
                <w:rFonts w:ascii="Times" w:hAnsi="Times"/>
                <w:sz w:val="24"/>
                <w:szCs w:val="24"/>
              </w:rPr>
              <w:t xml:space="preserve"> (professeur de sciences politiques et d’histoire) est la personne a l’origine du concept de </w:t>
            </w:r>
            <w:proofErr w:type="spellStart"/>
            <w:r w:rsidRPr="006159BE">
              <w:rPr>
                <w:rFonts w:ascii="Times" w:hAnsi="Times"/>
                <w:sz w:val="24"/>
                <w:szCs w:val="24"/>
              </w:rPr>
              <w:t>nécropolitique</w:t>
            </w:r>
            <w:proofErr w:type="spellEnd"/>
            <w:r w:rsidRPr="006159BE">
              <w:rPr>
                <w:rFonts w:ascii="Times" w:hAnsi="Times"/>
                <w:sz w:val="24"/>
                <w:szCs w:val="24"/>
              </w:rPr>
              <w:t>. A travers la lecture et l’ajout d’éléments à la théorie du biopouvoir (« ce vieux droit souverain de tuer »)</w:t>
            </w:r>
            <w:r w:rsidR="00DB0B4A">
              <w:rPr>
                <w:rStyle w:val="Appelnotedebasdep"/>
                <w:rFonts w:ascii="Times" w:hAnsi="Times"/>
                <w:sz w:val="24"/>
                <w:szCs w:val="24"/>
              </w:rPr>
              <w:footnoteReference w:id="1"/>
            </w:r>
            <w:r w:rsidRPr="006159BE">
              <w:rPr>
                <w:rFonts w:ascii="Times" w:hAnsi="Times"/>
                <w:sz w:val="24"/>
                <w:szCs w:val="24"/>
              </w:rPr>
              <w:t xml:space="preserve"> élaborée par Foucault, il souhaite mettre au jour les mécanismes de domination qui régissent nos sociétés. Il résume la thèse de Foucault de la façon suivante : « l’expression ultime de la souveraineté réside largement dans le pouvoir et la capacité de dire qui pourra vivre et qui doit mourir »</w:t>
            </w:r>
            <w:r w:rsidR="004C3B8A">
              <w:rPr>
                <w:rStyle w:val="Appelnotedebasdep"/>
                <w:rFonts w:ascii="Times" w:hAnsi="Times"/>
                <w:sz w:val="24"/>
                <w:szCs w:val="24"/>
              </w:rPr>
              <w:footnoteReference w:id="2"/>
            </w:r>
            <w:r w:rsidRPr="006159BE">
              <w:rPr>
                <w:rFonts w:ascii="Times" w:hAnsi="Times"/>
                <w:sz w:val="24"/>
                <w:szCs w:val="24"/>
              </w:rPr>
              <w:t>. Autrement dit, être à la tête de l’</w:t>
            </w:r>
            <w:proofErr w:type="spellStart"/>
            <w:r w:rsidRPr="006159BE">
              <w:rPr>
                <w:rFonts w:ascii="Times" w:hAnsi="Times"/>
                <w:sz w:val="24"/>
                <w:szCs w:val="24"/>
              </w:rPr>
              <w:t>Etat</w:t>
            </w:r>
            <w:proofErr w:type="spellEnd"/>
            <w:r w:rsidRPr="006159BE">
              <w:rPr>
                <w:rFonts w:ascii="Times" w:hAnsi="Times"/>
                <w:sz w:val="24"/>
                <w:szCs w:val="24"/>
              </w:rPr>
              <w:t>, c’est contrôler la mortalité et « définir la vie comme le déploiement et la manifestation du pouvoir »</w:t>
            </w:r>
            <w:r w:rsidR="004C3B8A">
              <w:rPr>
                <w:rStyle w:val="Appelnotedebasdep"/>
                <w:rFonts w:ascii="Times" w:hAnsi="Times"/>
                <w:sz w:val="24"/>
                <w:szCs w:val="24"/>
              </w:rPr>
              <w:footnoteReference w:id="3"/>
            </w:r>
            <w:r w:rsidRPr="006159BE">
              <w:rPr>
                <w:rFonts w:ascii="Times" w:hAnsi="Times"/>
                <w:sz w:val="24"/>
                <w:szCs w:val="24"/>
              </w:rPr>
              <w:t xml:space="preserve">. </w:t>
            </w:r>
            <w:proofErr w:type="spellStart"/>
            <w:r w:rsidRPr="006159BE">
              <w:rPr>
                <w:rFonts w:ascii="Times" w:hAnsi="Times"/>
                <w:sz w:val="24"/>
                <w:szCs w:val="24"/>
              </w:rPr>
              <w:t>Mbembe</w:t>
            </w:r>
            <w:proofErr w:type="spellEnd"/>
            <w:r w:rsidRPr="006159BE">
              <w:rPr>
                <w:rFonts w:ascii="Times" w:hAnsi="Times"/>
                <w:sz w:val="24"/>
                <w:szCs w:val="24"/>
              </w:rPr>
              <w:t xml:space="preserve"> propose d’y intégrer deux autres notions pour aller plus loin dans l’analyse du biopouvoir : l’état d’exception et l’état de siège. Il s’intéresse à la manière dont l’état d’exception et la « relation d’inimitié » sont devenus « la base normative du droit de tuer »</w:t>
            </w:r>
            <w:r w:rsidR="004C3B8A">
              <w:rPr>
                <w:rStyle w:val="Appelnotedebasdep"/>
                <w:rFonts w:ascii="Times" w:hAnsi="Times"/>
                <w:sz w:val="24"/>
                <w:szCs w:val="24"/>
              </w:rPr>
              <w:footnoteReference w:id="4"/>
            </w:r>
            <w:r w:rsidRPr="006159BE">
              <w:rPr>
                <w:rFonts w:ascii="Times" w:hAnsi="Times"/>
                <w:color w:val="FF0000"/>
                <w:sz w:val="24"/>
                <w:szCs w:val="24"/>
              </w:rPr>
              <w:t xml:space="preserve">. </w:t>
            </w:r>
            <w:r w:rsidRPr="006159BE">
              <w:rPr>
                <w:rFonts w:ascii="Times" w:hAnsi="Times"/>
                <w:sz w:val="24"/>
                <w:szCs w:val="24"/>
              </w:rPr>
              <w:t>Le pouvoir, qu’il n’associe pas forcément à l’</w:t>
            </w:r>
            <w:proofErr w:type="spellStart"/>
            <w:r w:rsidRPr="006159BE">
              <w:rPr>
                <w:rFonts w:ascii="Times" w:hAnsi="Times"/>
                <w:sz w:val="24"/>
                <w:szCs w:val="24"/>
              </w:rPr>
              <w:t>Etat</w:t>
            </w:r>
            <w:proofErr w:type="spellEnd"/>
            <w:r w:rsidRPr="006159BE">
              <w:rPr>
                <w:rFonts w:ascii="Times" w:hAnsi="Times"/>
                <w:sz w:val="24"/>
                <w:szCs w:val="24"/>
              </w:rPr>
              <w:t xml:space="preserve">, a systématiquement recours à l’exception et à un ennemi fictionnel qu’il faut identifier et détruire. Selon </w:t>
            </w:r>
            <w:proofErr w:type="spellStart"/>
            <w:r w:rsidRPr="006159BE">
              <w:rPr>
                <w:rFonts w:ascii="Times" w:hAnsi="Times"/>
                <w:sz w:val="24"/>
                <w:szCs w:val="24"/>
              </w:rPr>
              <w:t>Mbembe</w:t>
            </w:r>
            <w:proofErr w:type="spellEnd"/>
            <w:r w:rsidRPr="006159BE">
              <w:rPr>
                <w:rFonts w:ascii="Times" w:hAnsi="Times"/>
                <w:sz w:val="24"/>
                <w:szCs w:val="24"/>
              </w:rPr>
              <w:t xml:space="preserve">, Foucault opère une distinction entre les personnes qui doivent mourir et celles qui doivent vivre. Il opère une césure entre vivant et mort, ce qui relie directement le pouvoir avec le biologique. </w:t>
            </w:r>
            <w:proofErr w:type="spellStart"/>
            <w:r w:rsidRPr="006159BE">
              <w:rPr>
                <w:rFonts w:ascii="Times" w:hAnsi="Times"/>
                <w:sz w:val="24"/>
                <w:szCs w:val="24"/>
              </w:rPr>
              <w:t>Mbembe</w:t>
            </w:r>
            <w:proofErr w:type="spellEnd"/>
            <w:r w:rsidRPr="006159BE">
              <w:rPr>
                <w:rFonts w:ascii="Times" w:hAnsi="Times"/>
                <w:sz w:val="24"/>
                <w:szCs w:val="24"/>
              </w:rPr>
              <w:t xml:space="preserve"> semble analyser ça de façon moins manichéenne, en incluant la notion de « morts vivants ». Son but est d’analyser les conditions pratiques dans lesquelles le pouvoir de faire mourir ou de laisser vivre s’établit et de quelles façons la guerre, la lutte contre la terreur, etc. sont des prétextes pour la politique de justifier la mort de son ennemi. Il explique notamment que la guerre représente à la fois un moyen d’affirmer sa souveraineté et d’exercer le droit de faire mourir. Pour identifier un ennemi intérieur qu’il faut détruire, il est donc nécessaire d’établir une distinction au sein de la population, une subdivision en des groupes. La race est ce qui constitue cette distinction. Comme l’explique </w:t>
            </w:r>
            <w:proofErr w:type="spellStart"/>
            <w:r w:rsidRPr="006159BE">
              <w:rPr>
                <w:rFonts w:ascii="Times" w:hAnsi="Times"/>
                <w:sz w:val="24"/>
                <w:szCs w:val="24"/>
              </w:rPr>
              <w:t>Mbembe</w:t>
            </w:r>
            <w:proofErr w:type="spellEnd"/>
            <w:r w:rsidRPr="006159BE">
              <w:rPr>
                <w:rFonts w:ascii="Times" w:hAnsi="Times"/>
                <w:sz w:val="24"/>
                <w:szCs w:val="24"/>
              </w:rPr>
              <w:t>, « la race a constitué l’ombre toujours présente sur la pensée et la pratique politiques occidentales, surtout lorsqu’il s’agit d’imaginer l’inhumanité des peuples étrangers et la domination à exercer sur eux ».</w:t>
            </w:r>
            <w:r w:rsidR="004C3B8A">
              <w:rPr>
                <w:rStyle w:val="Appelnotedebasdep"/>
                <w:rFonts w:ascii="Times" w:hAnsi="Times"/>
                <w:sz w:val="24"/>
                <w:szCs w:val="24"/>
              </w:rPr>
              <w:footnoteReference w:id="5"/>
            </w:r>
            <w:r w:rsidRPr="006159BE">
              <w:rPr>
                <w:rFonts w:ascii="Times" w:hAnsi="Times"/>
                <w:sz w:val="24"/>
                <w:szCs w:val="24"/>
              </w:rPr>
              <w:t xml:space="preserve"> Dans la théorie du biopouvoir élaborée par Foucault, c’est bien le racisme qui représente la « condition d’acceptabilité de la mort »</w:t>
            </w:r>
            <w:r w:rsidR="004C3B8A">
              <w:rPr>
                <w:rStyle w:val="Appelnotedebasdep"/>
                <w:rFonts w:ascii="Times" w:hAnsi="Times"/>
                <w:sz w:val="24"/>
                <w:szCs w:val="24"/>
              </w:rPr>
              <w:footnoteReference w:id="6"/>
            </w:r>
            <w:r w:rsidRPr="006159BE">
              <w:rPr>
                <w:rFonts w:ascii="Times" w:hAnsi="Times"/>
                <w:sz w:val="24"/>
                <w:szCs w:val="24"/>
              </w:rPr>
              <w:t>. Autrement dit, le racisme est ce qui permet à l’</w:t>
            </w:r>
            <w:proofErr w:type="spellStart"/>
            <w:r w:rsidRPr="006159BE">
              <w:rPr>
                <w:rFonts w:ascii="Times" w:hAnsi="Times"/>
                <w:sz w:val="24"/>
                <w:szCs w:val="24"/>
              </w:rPr>
              <w:t>Etat</w:t>
            </w:r>
            <w:proofErr w:type="spellEnd"/>
            <w:r w:rsidRPr="006159BE">
              <w:rPr>
                <w:rFonts w:ascii="Times" w:hAnsi="Times"/>
                <w:sz w:val="24"/>
                <w:szCs w:val="24"/>
              </w:rPr>
              <w:t xml:space="preserve"> d’activer ses fonctions meurtrières et de donner la mort. Le droit de tuer constitue, selon Foucault, l’un des éléments qui font fonctionner les </w:t>
            </w:r>
            <w:proofErr w:type="spellStart"/>
            <w:r w:rsidRPr="006159BE">
              <w:rPr>
                <w:rFonts w:ascii="Times" w:hAnsi="Times"/>
                <w:sz w:val="24"/>
                <w:szCs w:val="24"/>
              </w:rPr>
              <w:t>Etats</w:t>
            </w:r>
            <w:proofErr w:type="spellEnd"/>
            <w:r w:rsidRPr="006159BE">
              <w:rPr>
                <w:rFonts w:ascii="Times" w:hAnsi="Times"/>
                <w:sz w:val="24"/>
                <w:szCs w:val="24"/>
              </w:rPr>
              <w:t xml:space="preserve"> modernes. Bien que certains voient dans le nazisme la mise en place de techniques de mises à mort et plus largement l’établissement plus systématique du droit de tuer, beaucoup d’observateurs affirment depuis une perspective historique que les prémisses matérielles de l’extermination </w:t>
            </w:r>
            <w:r w:rsidRPr="006159BE">
              <w:rPr>
                <w:rFonts w:ascii="Times" w:hAnsi="Times"/>
                <w:sz w:val="24"/>
                <w:szCs w:val="24"/>
              </w:rPr>
              <w:lastRenderedPageBreak/>
              <w:t xml:space="preserve">nazie étaient repérables déjà à partir de l’impérialisme colonial et dans la sérialisation des mécanismes techniques de mise à mort des personnes (développés entre la Révolution industrielle et la première guerre mondiale). La déshumanisation et l’industrialisation de la mort sont, d’après Enzo </w:t>
            </w:r>
            <w:proofErr w:type="spellStart"/>
            <w:r w:rsidRPr="006159BE">
              <w:rPr>
                <w:rFonts w:ascii="Times" w:hAnsi="Times"/>
                <w:sz w:val="24"/>
                <w:szCs w:val="24"/>
              </w:rPr>
              <w:t>Traverso</w:t>
            </w:r>
            <w:proofErr w:type="spellEnd"/>
            <w:r w:rsidRPr="006159BE">
              <w:rPr>
                <w:rFonts w:ascii="Times" w:hAnsi="Times"/>
                <w:sz w:val="24"/>
                <w:szCs w:val="24"/>
              </w:rPr>
              <w:t>, ce qui a permis aux chambres à gaz et aux fours de voir le jour. Les innovations technologiques permettent d’</w:t>
            </w:r>
            <w:r w:rsidR="006159BE" w:rsidRPr="006159BE">
              <w:rPr>
                <w:rFonts w:ascii="Times" w:hAnsi="Times"/>
                <w:sz w:val="24"/>
                <w:szCs w:val="24"/>
              </w:rPr>
              <w:t>identifier</w:t>
            </w:r>
            <w:r w:rsidRPr="006159BE">
              <w:rPr>
                <w:rFonts w:ascii="Times" w:hAnsi="Times"/>
                <w:sz w:val="24"/>
                <w:szCs w:val="24"/>
              </w:rPr>
              <w:t xml:space="preserve"> un plus grand nombre de potentielles victimes dans un laps de temps extrêmement court. Selon </w:t>
            </w:r>
            <w:proofErr w:type="spellStart"/>
            <w:r w:rsidRPr="006159BE">
              <w:rPr>
                <w:rFonts w:ascii="Times" w:hAnsi="Times"/>
                <w:sz w:val="24"/>
                <w:szCs w:val="24"/>
              </w:rPr>
              <w:t>Mbembe</w:t>
            </w:r>
            <w:proofErr w:type="spellEnd"/>
            <w:r w:rsidRPr="006159BE">
              <w:rPr>
                <w:rFonts w:ascii="Times" w:hAnsi="Times"/>
                <w:sz w:val="24"/>
                <w:szCs w:val="24"/>
              </w:rPr>
              <w:t xml:space="preserve">, l’esclavage est un élément constitutif de l’expérimentation biopolitique. Il prend comme exemple la plantation et ses conséquences qui représentent la figure emblématique de l’état d’exception. Dans la plantation, l’esclave est déshumanisé : il n’a pas de foyer, ne dispose plus des droits sur son propre corps et n’a pas de statut politique. C’est une forme de domination absolue et de mort sociale (« expulsion hors de l’humanité »). La violence envers l’esclave vise à instiller la terreur, son humanité est dissoute et l’on peut dire que la vie de l’esclave est possédée par le maître. La vie d’esclave, c’est une forme de mort dans la vie. La colonie et le régime d’apartheid constituent des lieux où une terreur particulière fait son apparition. En effet, c’est là que la souveraineté consiste fondamentalement en l’exercice d’un pouvoir en dehors de la loi (ab </w:t>
            </w:r>
            <w:proofErr w:type="spellStart"/>
            <w:r w:rsidRPr="006159BE">
              <w:rPr>
                <w:rFonts w:ascii="Times" w:hAnsi="Times"/>
                <w:sz w:val="24"/>
                <w:szCs w:val="24"/>
              </w:rPr>
              <w:t>legibus</w:t>
            </w:r>
            <w:proofErr w:type="spellEnd"/>
            <w:r w:rsidRPr="006159BE">
              <w:rPr>
                <w:rFonts w:ascii="Times" w:hAnsi="Times"/>
                <w:sz w:val="24"/>
                <w:szCs w:val="24"/>
              </w:rPr>
              <w:t xml:space="preserve"> </w:t>
            </w:r>
            <w:proofErr w:type="spellStart"/>
            <w:r w:rsidRPr="006159BE">
              <w:rPr>
                <w:rFonts w:ascii="Times" w:hAnsi="Times"/>
                <w:sz w:val="24"/>
                <w:szCs w:val="24"/>
              </w:rPr>
              <w:t>solutus</w:t>
            </w:r>
            <w:proofErr w:type="spellEnd"/>
            <w:r w:rsidRPr="006159BE">
              <w:rPr>
                <w:rFonts w:ascii="Times" w:hAnsi="Times"/>
                <w:sz w:val="24"/>
                <w:szCs w:val="24"/>
              </w:rPr>
              <w:t xml:space="preserve">) et où la paix tend à avoir le visage d’une guerre sans fin. Selon Carl Schmitt, la souveraineté, c’est le pouvoir de décider de l’état d’exception. La création d’un ordre juridique européen (jus </w:t>
            </w:r>
            <w:proofErr w:type="spellStart"/>
            <w:r w:rsidRPr="006159BE">
              <w:rPr>
                <w:rFonts w:ascii="Times" w:hAnsi="Times"/>
                <w:sz w:val="24"/>
                <w:szCs w:val="24"/>
              </w:rPr>
              <w:t>publicum</w:t>
            </w:r>
            <w:proofErr w:type="spellEnd"/>
            <w:r w:rsidRPr="006159BE">
              <w:rPr>
                <w:rFonts w:ascii="Times" w:hAnsi="Times"/>
                <w:sz w:val="24"/>
                <w:szCs w:val="24"/>
              </w:rPr>
              <w:t xml:space="preserve"> </w:t>
            </w:r>
            <w:proofErr w:type="spellStart"/>
            <w:r w:rsidRPr="006159BE">
              <w:rPr>
                <w:rFonts w:ascii="Times" w:hAnsi="Times"/>
                <w:sz w:val="24"/>
                <w:szCs w:val="24"/>
              </w:rPr>
              <w:t>europaeum</w:t>
            </w:r>
            <w:proofErr w:type="spellEnd"/>
            <w:r w:rsidRPr="006159BE">
              <w:rPr>
                <w:rFonts w:ascii="Times" w:hAnsi="Times"/>
                <w:sz w:val="24"/>
                <w:szCs w:val="24"/>
              </w:rPr>
              <w:t xml:space="preserve">) a mis en place deux concepts fondateurs de tous les états qui en font partie : l’égalité juridique d’une part, qui s’applique entre autres au droit de faire la guerre (ou de prendre la vie). Cela signifie à la fois que tuer ou conclure la paix représente l’une des fonctions premières de tout </w:t>
            </w:r>
            <w:proofErr w:type="spellStart"/>
            <w:r w:rsidRPr="006159BE">
              <w:rPr>
                <w:rFonts w:ascii="Times" w:hAnsi="Times"/>
                <w:sz w:val="24"/>
                <w:szCs w:val="24"/>
              </w:rPr>
              <w:t>Etat</w:t>
            </w:r>
            <w:proofErr w:type="spellEnd"/>
            <w:r w:rsidRPr="006159BE">
              <w:rPr>
                <w:rFonts w:ascii="Times" w:hAnsi="Times"/>
                <w:sz w:val="24"/>
                <w:szCs w:val="24"/>
              </w:rPr>
              <w:t xml:space="preserve"> et qu’aucun </w:t>
            </w:r>
            <w:proofErr w:type="spellStart"/>
            <w:r w:rsidRPr="006159BE">
              <w:rPr>
                <w:rFonts w:ascii="Times" w:hAnsi="Times"/>
                <w:sz w:val="24"/>
                <w:szCs w:val="24"/>
              </w:rPr>
              <w:t>Etat</w:t>
            </w:r>
            <w:proofErr w:type="spellEnd"/>
            <w:r w:rsidRPr="006159BE">
              <w:rPr>
                <w:rFonts w:ascii="Times" w:hAnsi="Times"/>
                <w:sz w:val="24"/>
                <w:szCs w:val="24"/>
              </w:rPr>
              <w:t xml:space="preserve"> ne peut prétendre avoir autorité au-delà de ses frontières. Repenser les manières de tuer en les civilisant et attribuer des objectifs rationnels à l’acte même de tuer fait partie également du rôle de l’état. Selon </w:t>
            </w:r>
            <w:proofErr w:type="spellStart"/>
            <w:r w:rsidRPr="006159BE">
              <w:rPr>
                <w:rFonts w:ascii="Times" w:hAnsi="Times"/>
                <w:sz w:val="24"/>
                <w:szCs w:val="24"/>
              </w:rPr>
              <w:t>Mbembe</w:t>
            </w:r>
            <w:proofErr w:type="spellEnd"/>
            <w:r w:rsidRPr="006159BE">
              <w:rPr>
                <w:rFonts w:ascii="Times" w:hAnsi="Times"/>
                <w:sz w:val="24"/>
                <w:szCs w:val="24"/>
              </w:rPr>
              <w:t xml:space="preserve">, les colonies sont l’exemple type du lieu où « les contrôles et les garanties de l’ordre judiciaire peuvent être suspendus, où la violence de l’état d’exception est supposé opérer au service de la « civilisation » ». Le droit de tuer ne doit répondre à aucun règlement dans les colonies. Le souverain a la possibilité de tuer quand il le veut et de la façon qu’il aura choisie. La violence coloniale n’est pas tenue par des règles </w:t>
            </w:r>
            <w:r w:rsidRPr="006159BE">
              <w:rPr>
                <w:rFonts w:ascii="Times" w:hAnsi="Times"/>
                <w:sz w:val="24"/>
                <w:szCs w:val="24"/>
              </w:rPr>
              <w:lastRenderedPageBreak/>
              <w:t>normatives et institutionnelles. « Les guerres coloniales sont conçues comme l’expression d’une hostilité absolue, qui place le conquérant face à un ennemi absolu »</w:t>
            </w:r>
            <w:r w:rsidR="004C3B8A">
              <w:rPr>
                <w:rStyle w:val="Appelnotedebasdep"/>
                <w:rFonts w:ascii="Times" w:hAnsi="Times"/>
                <w:sz w:val="24"/>
                <w:szCs w:val="24"/>
              </w:rPr>
              <w:footnoteReference w:id="7"/>
            </w:r>
            <w:r w:rsidRPr="006159BE">
              <w:rPr>
                <w:rFonts w:ascii="Times" w:hAnsi="Times"/>
                <w:sz w:val="24"/>
                <w:szCs w:val="24"/>
              </w:rPr>
              <w:t xml:space="preserve">. </w:t>
            </w:r>
            <w:proofErr w:type="spellStart"/>
            <w:r w:rsidRPr="006159BE">
              <w:rPr>
                <w:rFonts w:ascii="Times" w:hAnsi="Times"/>
                <w:sz w:val="24"/>
                <w:szCs w:val="24"/>
              </w:rPr>
              <w:t>Mbembe</w:t>
            </w:r>
            <w:proofErr w:type="spellEnd"/>
            <w:r w:rsidRPr="006159BE">
              <w:rPr>
                <w:rFonts w:ascii="Times" w:hAnsi="Times"/>
                <w:sz w:val="24"/>
                <w:szCs w:val="24"/>
              </w:rPr>
              <w:t xml:space="preserve"> considère que l’occupation coloniale représente à la fois une délimitation et un contrôle total (entres autres physique et géographique). La territorialisation produit des hiérarchies : les personnes sont classées en catégories et un imaginaire culturel prend place. « La souveraineté signifie l’occupation et l’occupation veut dire reléguer les colonies dans une troisième zone, entre le statut du sujet et celui de l’objet »</w:t>
            </w:r>
            <w:r w:rsidR="004C3B8A">
              <w:rPr>
                <w:rStyle w:val="Appelnotedebasdep"/>
                <w:rFonts w:ascii="Times" w:hAnsi="Times"/>
                <w:sz w:val="24"/>
                <w:szCs w:val="24"/>
              </w:rPr>
              <w:footnoteReference w:id="8"/>
            </w:r>
            <w:r w:rsidRPr="006159BE">
              <w:rPr>
                <w:rFonts w:ascii="Times" w:hAnsi="Times"/>
                <w:sz w:val="24"/>
                <w:szCs w:val="24"/>
              </w:rPr>
              <w:t xml:space="preserve">.  (il donne l’exemple de l’Apartheid en Afrique du sud). Fanon propose aussi une description de la spatialisation de l’occupation coloniale. Selon lui, l’occupation coloniale implique avant tout une division de l’espace en compartiments. Elle suppose la mise en place de bornes et de frontières internes, représentées par les casernes et les postes de police. Elle est régulée par le langage de la force pure, la présence immédiate et l’action fréquente et directe. Dans ce cas, la souveraineté est la capacité à définir qui a une importance et qui n’en a pas, qui est dénué de valeur et aisément remplaçable et qui ne l’est pas. </w:t>
            </w:r>
            <w:proofErr w:type="spellStart"/>
            <w:r w:rsidRPr="006159BE">
              <w:rPr>
                <w:rFonts w:ascii="Times" w:hAnsi="Times"/>
                <w:sz w:val="24"/>
                <w:szCs w:val="24"/>
              </w:rPr>
              <w:t>Mbembe</w:t>
            </w:r>
            <w:proofErr w:type="spellEnd"/>
            <w:r w:rsidRPr="006159BE">
              <w:rPr>
                <w:rFonts w:ascii="Times" w:hAnsi="Times"/>
                <w:sz w:val="24"/>
                <w:szCs w:val="24"/>
              </w:rPr>
              <w:t xml:space="preserve"> explique que ses exemples et idées peuvent sembler se rapporter à un passé lointain, mais que ce n’est pas le cas. L’occupation coloniale tardive diffère par bien des aspects du colonialisme moderne, particulièrement dans sa combinaison du disciplinaire, du biopolitique et du </w:t>
            </w:r>
            <w:proofErr w:type="spellStart"/>
            <w:r w:rsidRPr="006159BE">
              <w:rPr>
                <w:rFonts w:ascii="Times" w:hAnsi="Times"/>
                <w:sz w:val="24"/>
                <w:szCs w:val="24"/>
              </w:rPr>
              <w:t>nécropolitique</w:t>
            </w:r>
            <w:proofErr w:type="spellEnd"/>
            <w:r w:rsidRPr="006159BE">
              <w:rPr>
                <w:rFonts w:ascii="Times" w:hAnsi="Times"/>
                <w:sz w:val="24"/>
                <w:szCs w:val="24"/>
              </w:rPr>
              <w:t xml:space="preserve">. La forme la plus accomplie du </w:t>
            </w:r>
            <w:proofErr w:type="spellStart"/>
            <w:r w:rsidRPr="006159BE">
              <w:rPr>
                <w:rFonts w:ascii="Times" w:hAnsi="Times"/>
                <w:sz w:val="24"/>
                <w:szCs w:val="24"/>
              </w:rPr>
              <w:t>nécropouvoir</w:t>
            </w:r>
            <w:proofErr w:type="spellEnd"/>
            <w:r w:rsidRPr="006159BE">
              <w:rPr>
                <w:rFonts w:ascii="Times" w:hAnsi="Times"/>
                <w:sz w:val="24"/>
                <w:szCs w:val="24"/>
              </w:rPr>
              <w:t xml:space="preserve"> étant l’occupation coloniale de la Palestine selon </w:t>
            </w:r>
            <w:proofErr w:type="spellStart"/>
            <w:r w:rsidRPr="006159BE">
              <w:rPr>
                <w:rFonts w:ascii="Times" w:hAnsi="Times"/>
                <w:sz w:val="24"/>
                <w:szCs w:val="24"/>
              </w:rPr>
              <w:t>Mbembe</w:t>
            </w:r>
            <w:proofErr w:type="spellEnd"/>
            <w:r w:rsidRPr="006159BE">
              <w:rPr>
                <w:rFonts w:ascii="Times" w:hAnsi="Times"/>
                <w:sz w:val="24"/>
                <w:szCs w:val="24"/>
              </w:rPr>
              <w:t xml:space="preserve">. Ici, l’état colonial tire sa prétention de souveraineté et de </w:t>
            </w:r>
            <w:proofErr w:type="spellStart"/>
            <w:r w:rsidRPr="006159BE">
              <w:rPr>
                <w:rFonts w:ascii="Times" w:hAnsi="Times"/>
                <w:sz w:val="24"/>
                <w:szCs w:val="24"/>
              </w:rPr>
              <w:t>légitimié</w:t>
            </w:r>
            <w:proofErr w:type="spellEnd"/>
            <w:r w:rsidRPr="006159BE">
              <w:rPr>
                <w:rFonts w:ascii="Times" w:hAnsi="Times"/>
                <w:sz w:val="24"/>
                <w:szCs w:val="24"/>
              </w:rPr>
              <w:t xml:space="preserve"> de l’autorité de son propre récit de l’histoire et de l’identité. Discours renforcé par l’idée que l’état a un droit divin à l’existence. Deux discours incompatibles pour un même espace sacré. La qualité de peuple est elle-même forgée par la vénération d’une déité mythique et l’identité nationale imaginée comme identité contre l’autre, contre d’autres déités. En conséquence, violence coloniale et occupation s’appuient sur la terreur sacrée de la vérité et de l’exclusivité (expulsions de masse, installation de personnes « sans état » dans des camps de réfugiés, établissement de nouvelles colonies). Selon </w:t>
            </w:r>
            <w:proofErr w:type="spellStart"/>
            <w:r w:rsidRPr="006159BE">
              <w:rPr>
                <w:rFonts w:ascii="Times" w:hAnsi="Times"/>
                <w:sz w:val="24"/>
                <w:szCs w:val="24"/>
              </w:rPr>
              <w:t>Mbembe</w:t>
            </w:r>
            <w:proofErr w:type="spellEnd"/>
            <w:r w:rsidRPr="006159BE">
              <w:rPr>
                <w:rFonts w:ascii="Times" w:hAnsi="Times"/>
                <w:sz w:val="24"/>
                <w:szCs w:val="24"/>
              </w:rPr>
              <w:t>, l’occupation dans la bande de Gaza comprend trois éléments clés liés à la mise en place de la terreur qu’il appelle « </w:t>
            </w:r>
            <w:proofErr w:type="spellStart"/>
            <w:r w:rsidRPr="006159BE">
              <w:rPr>
                <w:rFonts w:ascii="Times" w:hAnsi="Times"/>
                <w:sz w:val="24"/>
                <w:szCs w:val="24"/>
              </w:rPr>
              <w:t>nécropouvoir</w:t>
            </w:r>
            <w:proofErr w:type="spellEnd"/>
            <w:r w:rsidRPr="006159BE">
              <w:rPr>
                <w:rFonts w:ascii="Times" w:hAnsi="Times"/>
                <w:sz w:val="24"/>
                <w:szCs w:val="24"/>
              </w:rPr>
              <w:t xml:space="preserve"> » : La fragmentation territoriale, l’accès interdit à certaines zones et l’expansion des colonies. L’objectif y est double : rendre tout mouvement impossible et réaliser la séparation selon le modèle de l’Apartheid. Les territoires de la bande de Gaza peuvent donc être scindés en un réseau fait de « frontières </w:t>
            </w:r>
            <w:r w:rsidRPr="006159BE">
              <w:rPr>
                <w:rFonts w:ascii="Times" w:hAnsi="Times"/>
                <w:sz w:val="24"/>
                <w:szCs w:val="24"/>
              </w:rPr>
              <w:lastRenderedPageBreak/>
              <w:t>intérieures et de cellules isolées »</w:t>
            </w:r>
            <w:r w:rsidR="004C3B8A">
              <w:rPr>
                <w:rStyle w:val="Appelnotedebasdep"/>
                <w:rFonts w:ascii="Times" w:hAnsi="Times"/>
                <w:sz w:val="24"/>
                <w:szCs w:val="24"/>
              </w:rPr>
              <w:footnoteReference w:id="9"/>
            </w:r>
            <w:r w:rsidRPr="006159BE">
              <w:rPr>
                <w:rFonts w:ascii="Times" w:hAnsi="Times"/>
                <w:sz w:val="24"/>
                <w:szCs w:val="24"/>
              </w:rPr>
              <w:t>. Selon Weizman : « les colonies peuvent être vues comme des dispositifs optiques urbains au service de la surveillance et de l’exercice du pouvoir »</w:t>
            </w:r>
            <w:r w:rsidR="004C3B8A">
              <w:rPr>
                <w:rStyle w:val="Appelnotedebasdep"/>
                <w:rFonts w:ascii="Times" w:hAnsi="Times"/>
                <w:sz w:val="24"/>
                <w:szCs w:val="24"/>
              </w:rPr>
              <w:footnoteReference w:id="10"/>
            </w:r>
            <w:r w:rsidRPr="006159BE">
              <w:rPr>
                <w:rFonts w:ascii="Times" w:hAnsi="Times"/>
                <w:sz w:val="24"/>
                <w:szCs w:val="24"/>
              </w:rPr>
              <w:t xml:space="preserve">. Dans ce contexte, l’occupation est empreinte de contrôle, de séparation (et d’isolement) et de surveillance. L’occupant organise un sabotage de tout l’urbanisme et des infrastructures de la société (en plus du vol des terres, de la privation d’eau et des ressources). Pour être certain de terrasser son ennemi : passer au bulldozer, démolir maisons et villes, déraciner les oliviers, cribler les citernes de balles, bombarder et brouiller les communications électroniques, défoncer les routes, dévaster les pistes d’aéroport, les émetteurs de télévision et de radio, </w:t>
            </w:r>
            <w:proofErr w:type="spellStart"/>
            <w:r w:rsidRPr="006159BE">
              <w:rPr>
                <w:rFonts w:ascii="Times" w:hAnsi="Times"/>
                <w:sz w:val="24"/>
                <w:szCs w:val="24"/>
              </w:rPr>
              <w:t>etc</w:t>
            </w:r>
            <w:proofErr w:type="spellEnd"/>
            <w:r w:rsidRPr="006159BE">
              <w:rPr>
                <w:rFonts w:ascii="Times" w:hAnsi="Times"/>
                <w:sz w:val="24"/>
                <w:szCs w:val="24"/>
              </w:rPr>
              <w:t>, « saccager les symboles culturels et politico-bureaucratiques du proto-état palestinien »</w:t>
            </w:r>
            <w:r w:rsidR="004C3B8A">
              <w:rPr>
                <w:rStyle w:val="Appelnotedebasdep"/>
                <w:rFonts w:ascii="Times" w:hAnsi="Times"/>
                <w:sz w:val="24"/>
                <w:szCs w:val="24"/>
              </w:rPr>
              <w:footnoteReference w:id="11"/>
            </w:r>
            <w:r w:rsidRPr="006159BE">
              <w:rPr>
                <w:rFonts w:ascii="Times" w:hAnsi="Times"/>
                <w:sz w:val="24"/>
                <w:szCs w:val="24"/>
              </w:rPr>
              <w:t xml:space="preserve">. Mener une guerre infrastructurelle. A la différence de l’occupation coloniale moderne, les hélicoptères de combat qui patrouillent dans les airs et tuent d’en haut et les bulldozers sur le sol et employés comme armes de guerre et d’intimidation rendent compte la supériorité des instruments derniers cris contemporains. « Comme l’illustre le cas palestinien, l’occupation coloniale de la modernité tardive est un enchaînement de pouvoirs multiples : disciplinaire, biopolitique et </w:t>
            </w:r>
            <w:proofErr w:type="spellStart"/>
            <w:r w:rsidRPr="006159BE">
              <w:rPr>
                <w:rFonts w:ascii="Times" w:hAnsi="Times"/>
                <w:sz w:val="24"/>
                <w:szCs w:val="24"/>
              </w:rPr>
              <w:t>nécropolitique</w:t>
            </w:r>
            <w:proofErr w:type="spellEnd"/>
            <w:r w:rsidRPr="006159BE">
              <w:rPr>
                <w:rFonts w:ascii="Times" w:hAnsi="Times"/>
                <w:sz w:val="24"/>
                <w:szCs w:val="24"/>
              </w:rPr>
              <w:t>. »</w:t>
            </w:r>
            <w:r w:rsidR="004C3B8A">
              <w:rPr>
                <w:rStyle w:val="Appelnotedebasdep"/>
                <w:rFonts w:ascii="Times" w:hAnsi="Times"/>
                <w:sz w:val="24"/>
                <w:szCs w:val="24"/>
              </w:rPr>
              <w:footnoteReference w:id="12"/>
            </w:r>
            <w:r w:rsidRPr="006159BE">
              <w:rPr>
                <w:rFonts w:ascii="Times" w:hAnsi="Times"/>
                <w:sz w:val="24"/>
                <w:szCs w:val="24"/>
              </w:rPr>
              <w:t xml:space="preserve">. Les commandants locaux jouissent d’une liberté totale pour tuer à tout va qui ils veulent. </w:t>
            </w:r>
            <w:proofErr w:type="spellStart"/>
            <w:r w:rsidRPr="006159BE">
              <w:rPr>
                <w:rFonts w:ascii="Times" w:hAnsi="Times"/>
                <w:sz w:val="24"/>
                <w:szCs w:val="24"/>
              </w:rPr>
              <w:t>Mbembe</w:t>
            </w:r>
            <w:proofErr w:type="spellEnd"/>
            <w:r w:rsidRPr="006159BE">
              <w:rPr>
                <w:rFonts w:ascii="Times" w:hAnsi="Times"/>
                <w:sz w:val="24"/>
                <w:szCs w:val="24"/>
              </w:rPr>
              <w:t xml:space="preserve"> parle aussi des guerres contemporaines qui visent l’annihilation de l’ennemi à l’aide de raid-éclairs. On s’en doute, l’exécution de telles stratégies militaires, laminent tout le système de survie de l’ennemi. « Vivre sous l’occupation contemporaine, c’est faire l’expérience permanente de « vivre dans la douleur » » : barrages, passages à tabac, confiscation de papiers, fusillades, etc. </w:t>
            </w:r>
            <w:proofErr w:type="spellStart"/>
            <w:r w:rsidRPr="006159BE">
              <w:rPr>
                <w:rFonts w:ascii="Times" w:hAnsi="Times"/>
                <w:sz w:val="24"/>
                <w:szCs w:val="24"/>
              </w:rPr>
              <w:t>Mbembe</w:t>
            </w:r>
            <w:proofErr w:type="spellEnd"/>
            <w:r w:rsidRPr="006159BE">
              <w:rPr>
                <w:rFonts w:ascii="Times" w:hAnsi="Times"/>
                <w:sz w:val="24"/>
                <w:szCs w:val="24"/>
              </w:rPr>
              <w:t xml:space="preserve">, à travers sa théorie de la </w:t>
            </w:r>
            <w:proofErr w:type="spellStart"/>
            <w:r w:rsidRPr="006159BE">
              <w:rPr>
                <w:rFonts w:ascii="Times" w:hAnsi="Times"/>
                <w:sz w:val="24"/>
                <w:szCs w:val="24"/>
              </w:rPr>
              <w:t>nécropolitique</w:t>
            </w:r>
            <w:proofErr w:type="spellEnd"/>
            <w:r w:rsidRPr="006159BE">
              <w:rPr>
                <w:rFonts w:ascii="Times" w:hAnsi="Times"/>
                <w:sz w:val="24"/>
                <w:szCs w:val="24"/>
              </w:rPr>
              <w:t xml:space="preserve"> permet de penser les inégalités systémiques contemporaines qui assignent certaines catégories de personnes à des mondes de mort, dans lesquels leur existence est dévalorisée, privée de pouvoir et </w:t>
            </w:r>
            <w:proofErr w:type="spellStart"/>
            <w:r w:rsidRPr="006159BE">
              <w:rPr>
                <w:rFonts w:ascii="Times" w:hAnsi="Times"/>
                <w:sz w:val="24"/>
                <w:szCs w:val="24"/>
              </w:rPr>
              <w:t>désubjectivée</w:t>
            </w:r>
            <w:proofErr w:type="spellEnd"/>
            <w:r w:rsidRPr="006159BE">
              <w:rPr>
                <w:rFonts w:ascii="Times" w:hAnsi="Times"/>
                <w:sz w:val="24"/>
                <w:szCs w:val="24"/>
              </w:rPr>
              <w:t>. Leur vie n’a pas de valeur, donc ces personnes peuvent mourir. Ce sont, en quelque sorte, des « vivants déjà morts »</w:t>
            </w:r>
            <w:r w:rsidR="004C3B8A">
              <w:rPr>
                <w:rStyle w:val="Appelnotedebasdep"/>
                <w:rFonts w:ascii="Times" w:hAnsi="Times"/>
                <w:sz w:val="24"/>
                <w:szCs w:val="24"/>
              </w:rPr>
              <w:footnoteReference w:id="13"/>
            </w:r>
            <w:r w:rsidRPr="006159BE">
              <w:rPr>
                <w:rFonts w:ascii="Times" w:hAnsi="Times"/>
                <w:sz w:val="24"/>
                <w:szCs w:val="24"/>
              </w:rPr>
              <w:t xml:space="preserve">. </w:t>
            </w:r>
          </w:p>
          <w:p w14:paraId="1F0E7F1F" w14:textId="2853DADC" w:rsidR="0038353E" w:rsidRDefault="006159BE" w:rsidP="006159BE">
            <w:pPr>
              <w:pStyle w:val="Titre1"/>
              <w:outlineLvl w:val="0"/>
            </w:pPr>
            <w:bookmarkStart w:id="2" w:name="_Toc111585340"/>
            <w:bookmarkStart w:id="3" w:name="_Toc111586372"/>
            <w:r>
              <w:t>La sociologie des migrations et ce qu’elle enseigne sur le traitement réservé aux immigrés</w:t>
            </w:r>
            <w:bookmarkEnd w:id="2"/>
            <w:bookmarkEnd w:id="3"/>
          </w:p>
          <w:p w14:paraId="33FFF527" w14:textId="77777777" w:rsidR="006159BE" w:rsidRPr="006159BE" w:rsidRDefault="006159BE" w:rsidP="006159BE"/>
          <w:p w14:paraId="0A2F9C69"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lastRenderedPageBreak/>
              <w:t xml:space="preserve">Dans un souci de pragmatisme, je vais maintenant m’intéresser à la sociologie des migrations et sur les éléments qui constituent la </w:t>
            </w:r>
            <w:proofErr w:type="spellStart"/>
            <w:r w:rsidRPr="006159BE">
              <w:rPr>
                <w:rFonts w:ascii="Times" w:hAnsi="Times"/>
                <w:sz w:val="24"/>
                <w:szCs w:val="24"/>
              </w:rPr>
              <w:t>nécropolitique</w:t>
            </w:r>
            <w:proofErr w:type="spellEnd"/>
            <w:r w:rsidRPr="006159BE">
              <w:rPr>
                <w:rFonts w:ascii="Times" w:hAnsi="Times"/>
                <w:sz w:val="24"/>
                <w:szCs w:val="24"/>
              </w:rPr>
              <w:t xml:space="preserve"> lorsque l’on s’intéresse au traitement politique, policier et judiciaire réservé aux migrants. En effet, s’intéresser à ce pan de la sociologie permet de se pencher sur l’historique belge des institutions politiques et des articles de loi mis en place pour encadrer l’immigration, mais également d’analyser des affaires clés qui ont marqué un tournant dans la gestion des rapatriements, retours forcés et enfermement des personnes migrantes. </w:t>
            </w:r>
          </w:p>
          <w:p w14:paraId="5F901AF2"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Une analyse qui peut sembler rébarbative, mais qui semble nécessaire pour appréhender les mécanismes racistes dans la politique belge consiste à se pencher sur les textes de loi et les modalités institutionnelles qui ont été émis à l’égard des immigrés depuis les années 50. Si ces articles concernaient au début une immigration plus large, l’étau s’est peu à peu resserré autour de l’immigration « illégale » et de l’immigration nord-africaine. </w:t>
            </w:r>
          </w:p>
          <w:p w14:paraId="36669599"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C’est en 1952 que la loi qui concerne la police des étrangers entre en vigueur. Le statut des étrangers a dépendu pendant une trentaine d’années de cette loi, qui réunissait deux éléments distincts : la façon d’accéder au territoire et au séjour et les règles qui encadrent les étrangers qui résident sur le territoire belge. Cette loi, plutôt laconique, permet au ministre de la Justice de régir, au moyen d’arrêtés royaux et de circulaires, le statut des étrangers. Cette loi est vivement décriée pour la grande part d’arbitraire et de place à l’interprétation qu’elle allouait à des fonctionnaires de haut rang. Aucune procédure de recours n’était mise en place pour espérer aller à l’encontre des décisions prises envers les étrangers.</w:t>
            </w:r>
          </w:p>
          <w:p w14:paraId="1885E6B3"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En 1977, l’organe que l’on connaît sous le nom de « police des étrangers » et « qui constitue avec la sûreté de l’</w:t>
            </w:r>
            <w:proofErr w:type="spellStart"/>
            <w:r w:rsidRPr="006159BE">
              <w:rPr>
                <w:rFonts w:ascii="Times" w:hAnsi="Times"/>
                <w:sz w:val="24"/>
                <w:szCs w:val="24"/>
              </w:rPr>
              <w:t>Etat</w:t>
            </w:r>
            <w:proofErr w:type="spellEnd"/>
            <w:r w:rsidRPr="006159BE">
              <w:rPr>
                <w:rFonts w:ascii="Times" w:hAnsi="Times"/>
                <w:sz w:val="24"/>
                <w:szCs w:val="24"/>
              </w:rPr>
              <w:t xml:space="preserve"> l’administration de la sûreté publique » est renommé « office des étrangers » </w:t>
            </w:r>
          </w:p>
          <w:p w14:paraId="63F02BE1" w14:textId="648395E5"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En 1980, la loi </w:t>
            </w:r>
            <w:proofErr w:type="spellStart"/>
            <w:r w:rsidRPr="006159BE">
              <w:rPr>
                <w:rFonts w:ascii="Times" w:hAnsi="Times"/>
                <w:sz w:val="24"/>
                <w:szCs w:val="24"/>
              </w:rPr>
              <w:t>Moureaux</w:t>
            </w:r>
            <w:proofErr w:type="spellEnd"/>
            <w:r w:rsidRPr="006159BE">
              <w:rPr>
                <w:rFonts w:ascii="Times" w:hAnsi="Times"/>
                <w:sz w:val="24"/>
                <w:szCs w:val="24"/>
              </w:rPr>
              <w:t xml:space="preserve"> vient sceller la réglementation du séjour et établit les fondements du statut administratif des étrangers. Blaise et Martens explique qu’elle poursuit « </w:t>
            </w:r>
            <w:r w:rsidRPr="003B090D">
              <w:rPr>
                <w:rFonts w:ascii="Times" w:hAnsi="Times"/>
                <w:sz w:val="24"/>
                <w:szCs w:val="24"/>
              </w:rPr>
              <w:t xml:space="preserve">les objectifs </w:t>
            </w:r>
            <w:r w:rsidRPr="003B090D">
              <w:rPr>
                <w:rFonts w:ascii="Times" w:hAnsi="Times"/>
                <w:i/>
                <w:iCs/>
                <w:sz w:val="24"/>
                <w:szCs w:val="24"/>
              </w:rPr>
              <w:t xml:space="preserve">"de clarifier </w:t>
            </w:r>
            <w:proofErr w:type="spellStart"/>
            <w:r w:rsidRPr="003B090D">
              <w:rPr>
                <w:rFonts w:ascii="Times" w:hAnsi="Times"/>
                <w:i/>
                <w:iCs/>
                <w:sz w:val="24"/>
                <w:szCs w:val="24"/>
              </w:rPr>
              <w:t>la</w:t>
            </w:r>
            <w:proofErr w:type="spellEnd"/>
            <w:r w:rsidRPr="003B090D">
              <w:rPr>
                <w:rFonts w:ascii="Times" w:hAnsi="Times"/>
                <w:i/>
                <w:iCs/>
                <w:sz w:val="24"/>
                <w:szCs w:val="24"/>
              </w:rPr>
              <w:t xml:space="preserve"> </w:t>
            </w:r>
            <w:proofErr w:type="spellStart"/>
            <w:r w:rsidRPr="003B090D">
              <w:rPr>
                <w:rFonts w:ascii="Times" w:hAnsi="Times"/>
                <w:i/>
                <w:iCs/>
                <w:sz w:val="24"/>
                <w:szCs w:val="24"/>
              </w:rPr>
              <w:t>législation</w:t>
            </w:r>
            <w:proofErr w:type="spellEnd"/>
            <w:r w:rsidRPr="003B090D">
              <w:rPr>
                <w:rFonts w:ascii="Times" w:hAnsi="Times"/>
                <w:i/>
                <w:iCs/>
                <w:sz w:val="24"/>
                <w:szCs w:val="24"/>
              </w:rPr>
              <w:t xml:space="preserve"> existante et d'y inclure formellement les obligations internationales qui nous incombent en vertu de la Convention de sauvegarde des droits de l'homme, le Traité de Rome, les </w:t>
            </w:r>
            <w:proofErr w:type="spellStart"/>
            <w:r w:rsidRPr="003B090D">
              <w:rPr>
                <w:rFonts w:ascii="Times" w:hAnsi="Times"/>
                <w:i/>
                <w:iCs/>
                <w:sz w:val="24"/>
                <w:szCs w:val="24"/>
              </w:rPr>
              <w:t>règlements</w:t>
            </w:r>
            <w:proofErr w:type="spellEnd"/>
            <w:r w:rsidRPr="003B090D">
              <w:rPr>
                <w:rFonts w:ascii="Times" w:hAnsi="Times"/>
                <w:i/>
                <w:iCs/>
                <w:sz w:val="24"/>
                <w:szCs w:val="24"/>
              </w:rPr>
              <w:t xml:space="preserve"> et directives de la </w:t>
            </w:r>
            <w:proofErr w:type="spellStart"/>
            <w:r w:rsidRPr="003B090D">
              <w:rPr>
                <w:rFonts w:ascii="Times" w:hAnsi="Times"/>
                <w:i/>
                <w:iCs/>
                <w:sz w:val="24"/>
                <w:szCs w:val="24"/>
              </w:rPr>
              <w:t>Communaute</w:t>
            </w:r>
            <w:proofErr w:type="spellEnd"/>
            <w:r w:rsidRPr="003B090D">
              <w:rPr>
                <w:rFonts w:ascii="Times" w:hAnsi="Times"/>
                <w:i/>
                <w:iCs/>
                <w:sz w:val="24"/>
                <w:szCs w:val="24"/>
              </w:rPr>
              <w:t xml:space="preserve">́ </w:t>
            </w:r>
            <w:proofErr w:type="spellStart"/>
            <w:r w:rsidRPr="003B090D">
              <w:rPr>
                <w:rFonts w:ascii="Times" w:hAnsi="Times"/>
                <w:i/>
                <w:iCs/>
                <w:sz w:val="24"/>
                <w:szCs w:val="24"/>
              </w:rPr>
              <w:t>économique</w:t>
            </w:r>
            <w:proofErr w:type="spellEnd"/>
            <w:r w:rsidRPr="003B090D">
              <w:rPr>
                <w:rFonts w:ascii="Times" w:hAnsi="Times"/>
                <w:i/>
                <w:iCs/>
                <w:sz w:val="24"/>
                <w:szCs w:val="24"/>
              </w:rPr>
              <w:t xml:space="preserve"> euro- </w:t>
            </w:r>
            <w:proofErr w:type="spellStart"/>
            <w:r w:rsidRPr="003B090D">
              <w:rPr>
                <w:rFonts w:ascii="Times" w:hAnsi="Times"/>
                <w:i/>
                <w:iCs/>
                <w:sz w:val="24"/>
                <w:szCs w:val="24"/>
              </w:rPr>
              <w:t>péenne</w:t>
            </w:r>
            <w:proofErr w:type="spellEnd"/>
            <w:r w:rsidRPr="003B090D">
              <w:rPr>
                <w:rFonts w:ascii="Times" w:hAnsi="Times"/>
                <w:i/>
                <w:iCs/>
                <w:sz w:val="24"/>
                <w:szCs w:val="24"/>
              </w:rPr>
              <w:t xml:space="preserve"> ou toutes autres conventions ou accords </w:t>
            </w:r>
            <w:proofErr w:type="spellStart"/>
            <w:r w:rsidRPr="003B090D">
              <w:rPr>
                <w:rFonts w:ascii="Times" w:hAnsi="Times"/>
                <w:i/>
                <w:iCs/>
                <w:sz w:val="24"/>
                <w:szCs w:val="24"/>
              </w:rPr>
              <w:t>bilatéraux</w:t>
            </w:r>
            <w:proofErr w:type="spellEnd"/>
            <w:r w:rsidRPr="003B090D">
              <w:rPr>
                <w:rFonts w:ascii="Times" w:hAnsi="Times"/>
                <w:i/>
                <w:iCs/>
                <w:sz w:val="24"/>
                <w:szCs w:val="24"/>
              </w:rPr>
              <w:t xml:space="preserve">. Elle entend aussi assurer une protection plus efficace des droits individuels en </w:t>
            </w:r>
            <w:proofErr w:type="spellStart"/>
            <w:r w:rsidRPr="003B090D">
              <w:rPr>
                <w:rFonts w:ascii="Times" w:hAnsi="Times"/>
                <w:i/>
                <w:iCs/>
                <w:sz w:val="24"/>
                <w:szCs w:val="24"/>
              </w:rPr>
              <w:t>précisant</w:t>
            </w:r>
            <w:proofErr w:type="spellEnd"/>
            <w:r w:rsidRPr="003B090D">
              <w:rPr>
                <w:rFonts w:ascii="Times" w:hAnsi="Times"/>
                <w:i/>
                <w:iCs/>
                <w:sz w:val="24"/>
                <w:szCs w:val="24"/>
              </w:rPr>
              <w:t xml:space="preserve"> dans la loi </w:t>
            </w:r>
            <w:proofErr w:type="spellStart"/>
            <w:r w:rsidRPr="003B090D">
              <w:rPr>
                <w:rFonts w:ascii="Times" w:hAnsi="Times"/>
                <w:i/>
                <w:iCs/>
                <w:sz w:val="24"/>
                <w:szCs w:val="24"/>
              </w:rPr>
              <w:t>elle-même</w:t>
            </w:r>
            <w:proofErr w:type="spellEnd"/>
            <w:r w:rsidRPr="003B090D">
              <w:rPr>
                <w:rFonts w:ascii="Times" w:hAnsi="Times"/>
                <w:i/>
                <w:iCs/>
                <w:sz w:val="24"/>
                <w:szCs w:val="24"/>
              </w:rPr>
              <w:t xml:space="preserve"> les droits et les obligations de l'</w:t>
            </w:r>
            <w:proofErr w:type="spellStart"/>
            <w:r w:rsidRPr="003B090D">
              <w:rPr>
                <w:rFonts w:ascii="Times" w:hAnsi="Times"/>
                <w:i/>
                <w:iCs/>
                <w:sz w:val="24"/>
                <w:szCs w:val="24"/>
              </w:rPr>
              <w:t>étranger</w:t>
            </w:r>
            <w:proofErr w:type="spellEnd"/>
            <w:r w:rsidRPr="003B090D">
              <w:rPr>
                <w:rFonts w:ascii="Times" w:hAnsi="Times"/>
                <w:i/>
                <w:iCs/>
                <w:sz w:val="24"/>
                <w:szCs w:val="24"/>
              </w:rPr>
              <w:t xml:space="preserve"> et en institutionnalisant les voies de recours dont les actes administratifs peuvent faire l'objet". </w:t>
            </w:r>
            <w:r w:rsidRPr="003B090D">
              <w:rPr>
                <w:rFonts w:ascii="Times" w:hAnsi="Times"/>
                <w:sz w:val="24"/>
                <w:szCs w:val="24"/>
              </w:rPr>
              <w:t xml:space="preserve">Elle vise </w:t>
            </w:r>
            <w:proofErr w:type="spellStart"/>
            <w:r w:rsidRPr="003B090D">
              <w:rPr>
                <w:rFonts w:ascii="Times" w:hAnsi="Times"/>
                <w:sz w:val="24"/>
                <w:szCs w:val="24"/>
              </w:rPr>
              <w:t>également</w:t>
            </w:r>
            <w:proofErr w:type="spellEnd"/>
            <w:r w:rsidRPr="003B090D">
              <w:rPr>
                <w:rFonts w:ascii="Times" w:hAnsi="Times"/>
                <w:sz w:val="24"/>
                <w:szCs w:val="24"/>
              </w:rPr>
              <w:t xml:space="preserve"> à </w:t>
            </w:r>
            <w:proofErr w:type="spellStart"/>
            <w:r w:rsidRPr="003B090D">
              <w:rPr>
                <w:rFonts w:ascii="Times" w:hAnsi="Times"/>
                <w:sz w:val="24"/>
                <w:szCs w:val="24"/>
              </w:rPr>
              <w:t>réprimer</w:t>
            </w:r>
            <w:proofErr w:type="spellEnd"/>
            <w:r w:rsidRPr="003B090D">
              <w:rPr>
                <w:rFonts w:ascii="Times" w:hAnsi="Times"/>
                <w:sz w:val="24"/>
                <w:szCs w:val="24"/>
              </w:rPr>
              <w:t xml:space="preserve"> l'immigration </w:t>
            </w:r>
            <w:proofErr w:type="spellStart"/>
            <w:r w:rsidRPr="003B090D">
              <w:rPr>
                <w:rFonts w:ascii="Times" w:hAnsi="Times"/>
                <w:sz w:val="24"/>
                <w:szCs w:val="24"/>
              </w:rPr>
              <w:t>irrégulière</w:t>
            </w:r>
            <w:proofErr w:type="spellEnd"/>
            <w:r w:rsidRPr="003B090D">
              <w:rPr>
                <w:rFonts w:ascii="Times" w:hAnsi="Times"/>
                <w:sz w:val="24"/>
                <w:szCs w:val="24"/>
              </w:rPr>
              <w:t xml:space="preserve"> et à assurer la protection de la </w:t>
            </w:r>
            <w:proofErr w:type="spellStart"/>
            <w:r w:rsidRPr="003B090D">
              <w:rPr>
                <w:rFonts w:ascii="Times" w:hAnsi="Times"/>
                <w:sz w:val="24"/>
                <w:szCs w:val="24"/>
              </w:rPr>
              <w:t>communaute</w:t>
            </w:r>
            <w:proofErr w:type="spellEnd"/>
            <w:r w:rsidRPr="003B090D">
              <w:rPr>
                <w:rFonts w:ascii="Times" w:hAnsi="Times"/>
                <w:sz w:val="24"/>
                <w:szCs w:val="24"/>
              </w:rPr>
              <w:t xml:space="preserve">́ </w:t>
            </w:r>
            <w:r w:rsidRPr="003B090D">
              <w:rPr>
                <w:rFonts w:ascii="Times" w:hAnsi="Times"/>
                <w:i/>
                <w:iCs/>
                <w:sz w:val="24"/>
                <w:szCs w:val="24"/>
              </w:rPr>
              <w:t xml:space="preserve">"et </w:t>
            </w:r>
            <w:proofErr w:type="spellStart"/>
            <w:r w:rsidRPr="003B090D">
              <w:rPr>
                <w:rFonts w:ascii="Times" w:hAnsi="Times"/>
                <w:i/>
                <w:iCs/>
                <w:sz w:val="24"/>
                <w:szCs w:val="24"/>
              </w:rPr>
              <w:t>particu</w:t>
            </w:r>
            <w:proofErr w:type="spellEnd"/>
            <w:r w:rsidRPr="003B090D">
              <w:rPr>
                <w:rFonts w:ascii="Times" w:hAnsi="Times"/>
                <w:i/>
                <w:iCs/>
                <w:sz w:val="24"/>
                <w:szCs w:val="24"/>
              </w:rPr>
              <w:t xml:space="preserve">- </w:t>
            </w:r>
            <w:proofErr w:type="spellStart"/>
            <w:r w:rsidRPr="003B090D">
              <w:rPr>
                <w:rFonts w:ascii="Times" w:hAnsi="Times"/>
                <w:i/>
                <w:iCs/>
                <w:sz w:val="24"/>
                <w:szCs w:val="24"/>
              </w:rPr>
              <w:t>lièrement</w:t>
            </w:r>
            <w:proofErr w:type="spellEnd"/>
            <w:r w:rsidRPr="003B090D">
              <w:rPr>
                <w:rFonts w:ascii="Times" w:hAnsi="Times"/>
                <w:i/>
                <w:iCs/>
                <w:sz w:val="24"/>
                <w:szCs w:val="24"/>
              </w:rPr>
              <w:t xml:space="preserve"> de notre jeunesse, contre </w:t>
            </w:r>
            <w:r w:rsidRPr="003B090D">
              <w:rPr>
                <w:rFonts w:ascii="Times" w:hAnsi="Times"/>
                <w:i/>
                <w:iCs/>
                <w:sz w:val="24"/>
                <w:szCs w:val="24"/>
              </w:rPr>
              <w:lastRenderedPageBreak/>
              <w:t>les agissements d'</w:t>
            </w:r>
            <w:proofErr w:type="spellStart"/>
            <w:r w:rsidRPr="003B090D">
              <w:rPr>
                <w:rFonts w:ascii="Times" w:hAnsi="Times"/>
                <w:i/>
                <w:iCs/>
                <w:sz w:val="24"/>
                <w:szCs w:val="24"/>
              </w:rPr>
              <w:t>étrangers</w:t>
            </w:r>
            <w:proofErr w:type="spellEnd"/>
            <w:r w:rsidRPr="003B090D">
              <w:rPr>
                <w:rFonts w:ascii="Times" w:hAnsi="Times"/>
                <w:i/>
                <w:iCs/>
                <w:sz w:val="24"/>
                <w:szCs w:val="24"/>
              </w:rPr>
              <w:t xml:space="preserve"> </w:t>
            </w:r>
            <w:proofErr w:type="spellStart"/>
            <w:r w:rsidRPr="003B090D">
              <w:rPr>
                <w:rFonts w:ascii="Times" w:hAnsi="Times"/>
                <w:i/>
                <w:iCs/>
                <w:sz w:val="24"/>
                <w:szCs w:val="24"/>
              </w:rPr>
              <w:t>démunis</w:t>
            </w:r>
            <w:proofErr w:type="spellEnd"/>
            <w:r w:rsidRPr="003B090D">
              <w:rPr>
                <w:rFonts w:ascii="Times" w:hAnsi="Times"/>
                <w:i/>
                <w:iCs/>
                <w:sz w:val="24"/>
                <w:szCs w:val="24"/>
              </w:rPr>
              <w:t xml:space="preserve"> de moyens d'existence, qui troublent 1'ordre public et vivent d'</w:t>
            </w:r>
            <w:proofErr w:type="spellStart"/>
            <w:r w:rsidRPr="003B090D">
              <w:rPr>
                <w:rFonts w:ascii="Times" w:hAnsi="Times"/>
                <w:i/>
                <w:iCs/>
                <w:sz w:val="24"/>
                <w:szCs w:val="24"/>
              </w:rPr>
              <w:t>expédients</w:t>
            </w:r>
            <w:proofErr w:type="spellEnd"/>
            <w:r w:rsidRPr="006159BE">
              <w:rPr>
                <w:rFonts w:ascii="Times" w:hAnsi="Times"/>
                <w:i/>
                <w:iCs/>
                <w:sz w:val="24"/>
                <w:szCs w:val="24"/>
              </w:rPr>
              <w:t> »»</w:t>
            </w:r>
            <w:r w:rsidR="004C3B8A">
              <w:rPr>
                <w:rStyle w:val="Appelnotedebasdep"/>
                <w:rFonts w:ascii="Times" w:hAnsi="Times"/>
                <w:i/>
                <w:iCs/>
                <w:sz w:val="24"/>
                <w:szCs w:val="24"/>
              </w:rPr>
              <w:footnoteReference w:id="14"/>
            </w:r>
            <w:r w:rsidRPr="006159BE">
              <w:rPr>
                <w:rFonts w:ascii="Times" w:hAnsi="Times"/>
                <w:i/>
                <w:iCs/>
                <w:sz w:val="24"/>
                <w:szCs w:val="24"/>
              </w:rPr>
              <w:t xml:space="preserve">. </w:t>
            </w:r>
            <w:r w:rsidRPr="006159BE">
              <w:rPr>
                <w:rFonts w:ascii="Times" w:hAnsi="Times"/>
                <w:sz w:val="24"/>
                <w:szCs w:val="24"/>
              </w:rPr>
              <w:t xml:space="preserve">Cette loi opère donc une distinction entre les étrangers issus d’un </w:t>
            </w:r>
            <w:proofErr w:type="spellStart"/>
            <w:r w:rsidRPr="006159BE">
              <w:rPr>
                <w:rFonts w:ascii="Times" w:hAnsi="Times"/>
                <w:sz w:val="24"/>
                <w:szCs w:val="24"/>
              </w:rPr>
              <w:t>Etat</w:t>
            </w:r>
            <w:proofErr w:type="spellEnd"/>
            <w:r w:rsidRPr="006159BE">
              <w:rPr>
                <w:rFonts w:ascii="Times" w:hAnsi="Times"/>
                <w:sz w:val="24"/>
                <w:szCs w:val="24"/>
              </w:rPr>
              <w:t xml:space="preserve"> de la Communauté européenne et ceux ressortissant d’un autre pays. Un point d’honneur est donc mis à protéger « notre jeunesse » des agissements des étrangers (perçus comme une menace à l’ordre public). Avant cela, en mai 1978, Vic </w:t>
            </w:r>
            <w:proofErr w:type="spellStart"/>
            <w:r w:rsidRPr="006159BE">
              <w:rPr>
                <w:rFonts w:ascii="Times" w:hAnsi="Times"/>
                <w:sz w:val="24"/>
                <w:szCs w:val="24"/>
              </w:rPr>
              <w:t>Anciaux</w:t>
            </w:r>
            <w:proofErr w:type="spellEnd"/>
            <w:r w:rsidRPr="006159BE">
              <w:rPr>
                <w:rFonts w:ascii="Times" w:hAnsi="Times"/>
                <w:sz w:val="24"/>
                <w:szCs w:val="24"/>
              </w:rPr>
              <w:t xml:space="preserve"> (à l’époque secrétaire d’</w:t>
            </w:r>
            <w:proofErr w:type="spellStart"/>
            <w:r w:rsidRPr="006159BE">
              <w:rPr>
                <w:rFonts w:ascii="Times" w:hAnsi="Times"/>
                <w:sz w:val="24"/>
                <w:szCs w:val="24"/>
              </w:rPr>
              <w:t>Etat</w:t>
            </w:r>
            <w:proofErr w:type="spellEnd"/>
            <w:r w:rsidRPr="006159BE">
              <w:rPr>
                <w:rFonts w:ascii="Times" w:hAnsi="Times"/>
                <w:sz w:val="24"/>
                <w:szCs w:val="24"/>
              </w:rPr>
              <w:t xml:space="preserve"> aux affaires bruxelloises) avait publié une note concernant la politique migratoire. Bien qu’elle n’ait jamais été analysée en Conseil des ministres, elle a eu son importance en brisant l’omerta qui régnait concernant l’injustice sociale immense vécue par les immigrés. Elle a permis à d’autres ministres et secrétaires d’</w:t>
            </w:r>
            <w:proofErr w:type="spellStart"/>
            <w:r w:rsidRPr="006159BE">
              <w:rPr>
                <w:rFonts w:ascii="Times" w:hAnsi="Times"/>
                <w:sz w:val="24"/>
                <w:szCs w:val="24"/>
              </w:rPr>
              <w:t>Etat</w:t>
            </w:r>
            <w:proofErr w:type="spellEnd"/>
            <w:r w:rsidRPr="006159BE">
              <w:rPr>
                <w:rFonts w:ascii="Times" w:hAnsi="Times"/>
                <w:sz w:val="24"/>
                <w:szCs w:val="24"/>
              </w:rPr>
              <w:t xml:space="preserve"> de lui emboîter le pas pour remettre en question la politique migratoire belge. </w:t>
            </w:r>
          </w:p>
          <w:p w14:paraId="0FD04230"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En juin 84, l’entrée en vigueur de la loi </w:t>
            </w:r>
            <w:proofErr w:type="spellStart"/>
            <w:r w:rsidRPr="006159BE">
              <w:rPr>
                <w:rFonts w:ascii="Times" w:hAnsi="Times"/>
                <w:sz w:val="24"/>
                <w:szCs w:val="24"/>
              </w:rPr>
              <w:t>Gol</w:t>
            </w:r>
            <w:proofErr w:type="spellEnd"/>
            <w:r w:rsidRPr="006159BE">
              <w:rPr>
                <w:rFonts w:ascii="Times" w:hAnsi="Times"/>
                <w:sz w:val="24"/>
                <w:szCs w:val="24"/>
              </w:rPr>
              <w:t xml:space="preserve"> vient restreindre des mesures prises en relation avec le statut des étrangers de la loi </w:t>
            </w:r>
            <w:proofErr w:type="spellStart"/>
            <w:r w:rsidRPr="006159BE">
              <w:rPr>
                <w:rFonts w:ascii="Times" w:hAnsi="Times"/>
                <w:sz w:val="24"/>
                <w:szCs w:val="24"/>
              </w:rPr>
              <w:t>Moureaux</w:t>
            </w:r>
            <w:proofErr w:type="spellEnd"/>
            <w:r w:rsidRPr="006159BE">
              <w:rPr>
                <w:rFonts w:ascii="Times" w:hAnsi="Times"/>
                <w:sz w:val="24"/>
                <w:szCs w:val="24"/>
              </w:rPr>
              <w:t> : le droit au regroupement familial est limité, la possibilité est donnée de diminuer le séjour et l’implantation d’étrangers dans des communes spécifiques, l’aide du CPAS est restreinte envers certaines catégories d’étrangers, etc.</w:t>
            </w:r>
          </w:p>
          <w:p w14:paraId="4387F10C" w14:textId="42A9289A"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Dans le rapport de Blaise et Martens, on constate que la problématique de l’intégration des immigrés se concentrent sur, d’une part la population d’origine maghrébine et, d’autre part, sur la population d’origine turque. Deux craintes se constituent alors : l’expansion de la violence et l’apparition « d'un rapport de force politique qui ne passerait pas par la participation </w:t>
            </w:r>
            <w:proofErr w:type="spellStart"/>
            <w:r w:rsidRPr="006159BE">
              <w:rPr>
                <w:rFonts w:ascii="Times" w:hAnsi="Times"/>
                <w:sz w:val="24"/>
                <w:szCs w:val="24"/>
              </w:rPr>
              <w:t>électorale</w:t>
            </w:r>
            <w:proofErr w:type="spellEnd"/>
            <w:r w:rsidRPr="006159BE">
              <w:rPr>
                <w:rFonts w:ascii="Times" w:hAnsi="Times"/>
                <w:sz w:val="24"/>
                <w:szCs w:val="24"/>
              </w:rPr>
              <w:t xml:space="preserve"> mais pour lequel l'islam jouerait le </w:t>
            </w:r>
            <w:proofErr w:type="spellStart"/>
            <w:r w:rsidRPr="006159BE">
              <w:rPr>
                <w:rFonts w:ascii="Times" w:hAnsi="Times"/>
                <w:sz w:val="24"/>
                <w:szCs w:val="24"/>
              </w:rPr>
              <w:t>rôle</w:t>
            </w:r>
            <w:proofErr w:type="spellEnd"/>
            <w:r w:rsidRPr="006159BE">
              <w:rPr>
                <w:rFonts w:ascii="Times" w:hAnsi="Times"/>
                <w:sz w:val="24"/>
                <w:szCs w:val="24"/>
              </w:rPr>
              <w:t xml:space="preserve"> d'</w:t>
            </w:r>
            <w:proofErr w:type="spellStart"/>
            <w:r w:rsidRPr="006159BE">
              <w:rPr>
                <w:rFonts w:ascii="Times" w:hAnsi="Times"/>
                <w:sz w:val="24"/>
                <w:szCs w:val="24"/>
              </w:rPr>
              <w:t>élément</w:t>
            </w:r>
            <w:proofErr w:type="spellEnd"/>
            <w:r w:rsidRPr="006159BE">
              <w:rPr>
                <w:rFonts w:ascii="Times" w:hAnsi="Times"/>
                <w:sz w:val="24"/>
                <w:szCs w:val="24"/>
              </w:rPr>
              <w:t xml:space="preserve"> structurant »</w:t>
            </w:r>
            <w:r w:rsidR="004C3B8A">
              <w:rPr>
                <w:rStyle w:val="Appelnotedebasdep"/>
                <w:rFonts w:ascii="Times" w:hAnsi="Times"/>
                <w:sz w:val="24"/>
                <w:szCs w:val="24"/>
              </w:rPr>
              <w:footnoteReference w:id="15"/>
            </w:r>
            <w:r w:rsidRPr="006159BE">
              <w:rPr>
                <w:rFonts w:ascii="Times" w:hAnsi="Times"/>
                <w:sz w:val="24"/>
                <w:szCs w:val="24"/>
              </w:rPr>
              <w:t xml:space="preserve">. Depuis 1991, de nombreuses confrontations entre jeunes d’origine maghrébine et la police ont été observées et débouchent sur des discours sécuritaires. Là où certains parlent de renforcement des violences urbaines en qualifiant les jeunes de « délinquants organisés » qui seraient inarrêtables et mal intégrés dans la société,  d’autres mettent en avant des faits sociaux qui engendrent ces actes de violence, à savoir la pauvreté, la vétusté des quartiers pauvres, l’exclusion sociale, etc. Le problème étant que les autorités publiques ont tendance à s’intéresser aux conséquences, plutôt qu’à la racine des violences. Leurs réponses sont donc systématiquement portées vers « le rétablissement de l’ordre et de la sécurité et à la </w:t>
            </w:r>
            <w:r w:rsidRPr="006159BE">
              <w:rPr>
                <w:rFonts w:ascii="Times" w:hAnsi="Times"/>
                <w:sz w:val="24"/>
                <w:szCs w:val="24"/>
              </w:rPr>
              <w:lastRenderedPageBreak/>
              <w:t>prévention de nouveaux troubles »</w:t>
            </w:r>
            <w:r w:rsidR="004C3B8A">
              <w:rPr>
                <w:rStyle w:val="Appelnotedebasdep"/>
                <w:rFonts w:ascii="Times" w:hAnsi="Times"/>
                <w:sz w:val="24"/>
                <w:szCs w:val="24"/>
              </w:rPr>
              <w:footnoteReference w:id="16"/>
            </w:r>
            <w:r w:rsidRPr="006159BE">
              <w:rPr>
                <w:rFonts w:ascii="Times" w:hAnsi="Times"/>
                <w:sz w:val="24"/>
                <w:szCs w:val="24"/>
              </w:rPr>
              <w:t>. Une rhétorique de contrôle qui ne pousse qu’à l’augmentation des effectifs de police et des équipements dont ils disposent et à la formation des policiers « aux réalités interculturelles »</w:t>
            </w:r>
            <w:r w:rsidR="004C3B8A">
              <w:rPr>
                <w:rStyle w:val="Appelnotedebasdep"/>
                <w:rFonts w:ascii="Times" w:hAnsi="Times"/>
                <w:sz w:val="24"/>
                <w:szCs w:val="24"/>
              </w:rPr>
              <w:footnoteReference w:id="17"/>
            </w:r>
            <w:r w:rsidRPr="006159BE">
              <w:rPr>
                <w:rFonts w:ascii="Times" w:hAnsi="Times"/>
                <w:sz w:val="24"/>
                <w:szCs w:val="24"/>
              </w:rPr>
              <w:t xml:space="preserve">.  Il est pourtant démontré depuis longtemps que ce ne sont ni l’accroissement des effectifs policiers, ni les formations que ceux-ci reçoivent qui améliorent les relations entre eux et la population. Nombre de policiers ayant suivi des formations de toutes sortes sont responsables des pires violences, comme en témoignent les agissements des policiers responsables de la mort de George Floyd aux Etats-Unis. </w:t>
            </w:r>
          </w:p>
          <w:p w14:paraId="51372962" w14:textId="4DD14B70"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Il est intéressant de se concentrer à présent sur les applications concrètes qu’ont eu ces différentes lois, à travers l’étude d’un cas en particulier, celui de « l’opération contrôle » du 9 juin 1964. L’opération en question visait à identifier et contrôler des personnes étrangères susceptibles d’être présentes illégalement sur le territoire et de travailler dans la clandestinité. 158 personnes ont ainsi été interrogées et certaines d’entre elles ont reçu une mesure d’éloignement, d’autres ont été sommées de quitter le territoire ou ont été refoulées à la frontière. Le retour qu’a fait la Police des </w:t>
            </w:r>
            <w:proofErr w:type="spellStart"/>
            <w:r w:rsidRPr="006159BE">
              <w:rPr>
                <w:rFonts w:ascii="Times" w:hAnsi="Times"/>
                <w:sz w:val="24"/>
                <w:szCs w:val="24"/>
              </w:rPr>
              <w:t>Etrangers</w:t>
            </w:r>
            <w:proofErr w:type="spellEnd"/>
            <w:r w:rsidRPr="006159BE">
              <w:rPr>
                <w:rFonts w:ascii="Times" w:hAnsi="Times"/>
                <w:sz w:val="24"/>
                <w:szCs w:val="24"/>
              </w:rPr>
              <w:t xml:space="preserve"> de cette opération ne laisse aucune place au doute : nous sommes en pleine rhétorique de « la mise en péril ». Entre peur de l’invasion, peur du coût social que représente une politique de soi-disant « laissez-faire migratoire » et un rapprochement douteux entre immigration et criminalité, on nage en plein argumentaire réactionnaire. « </w:t>
            </w:r>
            <w:r w:rsidRPr="006159BE">
              <w:rPr>
                <w:rFonts w:ascii="Times" w:hAnsi="Times"/>
                <w:i/>
                <w:iCs/>
                <w:sz w:val="24"/>
                <w:szCs w:val="24"/>
              </w:rPr>
              <w:t xml:space="preserve">Bruxelles est </w:t>
            </w:r>
            <w:proofErr w:type="spellStart"/>
            <w:r w:rsidRPr="006159BE">
              <w:rPr>
                <w:rFonts w:ascii="Times" w:hAnsi="Times"/>
                <w:i/>
                <w:iCs/>
                <w:sz w:val="24"/>
                <w:szCs w:val="24"/>
              </w:rPr>
              <w:t>littéralement</w:t>
            </w:r>
            <w:proofErr w:type="spellEnd"/>
            <w:r w:rsidRPr="006159BE">
              <w:rPr>
                <w:rFonts w:ascii="Times" w:hAnsi="Times"/>
                <w:i/>
                <w:iCs/>
                <w:sz w:val="24"/>
                <w:szCs w:val="24"/>
              </w:rPr>
              <w:t xml:space="preserve"> “infesté” – l’expression n’est pas </w:t>
            </w:r>
            <w:proofErr w:type="spellStart"/>
            <w:r w:rsidRPr="006159BE">
              <w:rPr>
                <w:rFonts w:ascii="Times" w:hAnsi="Times"/>
                <w:i/>
                <w:iCs/>
                <w:sz w:val="24"/>
                <w:szCs w:val="24"/>
              </w:rPr>
              <w:t>exagérée</w:t>
            </w:r>
            <w:proofErr w:type="spellEnd"/>
            <w:r w:rsidRPr="006159BE">
              <w:rPr>
                <w:rFonts w:ascii="Times" w:hAnsi="Times"/>
                <w:i/>
                <w:iCs/>
                <w:sz w:val="24"/>
                <w:szCs w:val="24"/>
              </w:rPr>
              <w:t xml:space="preserve"> – d’</w:t>
            </w:r>
            <w:proofErr w:type="spellStart"/>
            <w:r w:rsidRPr="006159BE">
              <w:rPr>
                <w:rFonts w:ascii="Times" w:hAnsi="Times"/>
                <w:i/>
                <w:iCs/>
                <w:sz w:val="24"/>
                <w:szCs w:val="24"/>
              </w:rPr>
              <w:t>étrangers</w:t>
            </w:r>
            <w:proofErr w:type="spellEnd"/>
            <w:r w:rsidRPr="006159BE">
              <w:rPr>
                <w:rFonts w:ascii="Times" w:hAnsi="Times"/>
                <w:i/>
                <w:iCs/>
                <w:sz w:val="24"/>
                <w:szCs w:val="24"/>
              </w:rPr>
              <w:t xml:space="preserve"> de toutes </w:t>
            </w:r>
            <w:proofErr w:type="spellStart"/>
            <w:r w:rsidRPr="006159BE">
              <w:rPr>
                <w:rFonts w:ascii="Times" w:hAnsi="Times"/>
                <w:i/>
                <w:iCs/>
                <w:sz w:val="24"/>
                <w:szCs w:val="24"/>
              </w:rPr>
              <w:t>nationalités</w:t>
            </w:r>
            <w:proofErr w:type="spellEnd"/>
            <w:r w:rsidRPr="006159BE">
              <w:rPr>
                <w:rFonts w:ascii="Times" w:hAnsi="Times"/>
                <w:i/>
                <w:iCs/>
                <w:sz w:val="24"/>
                <w:szCs w:val="24"/>
              </w:rPr>
              <w:t xml:space="preserve"> (en particulier de Nord-Africains et d’Espagnols) dont la situation est </w:t>
            </w:r>
            <w:proofErr w:type="spellStart"/>
            <w:r w:rsidRPr="006159BE">
              <w:rPr>
                <w:rFonts w:ascii="Times" w:hAnsi="Times"/>
                <w:i/>
                <w:iCs/>
                <w:sz w:val="24"/>
                <w:szCs w:val="24"/>
              </w:rPr>
              <w:t>irrégulière</w:t>
            </w:r>
            <w:proofErr w:type="spellEnd"/>
            <w:r w:rsidRPr="006159BE">
              <w:rPr>
                <w:rFonts w:ascii="Times" w:hAnsi="Times"/>
                <w:i/>
                <w:iCs/>
                <w:sz w:val="24"/>
                <w:szCs w:val="24"/>
              </w:rPr>
              <w:t xml:space="preserve"> et instable. C’est par milliers qu’ils se trouvent dans cet </w:t>
            </w:r>
            <w:proofErr w:type="spellStart"/>
            <w:r w:rsidRPr="006159BE">
              <w:rPr>
                <w:rFonts w:ascii="Times" w:hAnsi="Times"/>
                <w:i/>
                <w:iCs/>
                <w:sz w:val="24"/>
                <w:szCs w:val="24"/>
              </w:rPr>
              <w:t>état</w:t>
            </w:r>
            <w:proofErr w:type="spellEnd"/>
            <w:r w:rsidRPr="006159BE">
              <w:rPr>
                <w:rFonts w:ascii="Times" w:hAnsi="Times"/>
                <w:i/>
                <w:iCs/>
                <w:sz w:val="24"/>
                <w:szCs w:val="24"/>
              </w:rPr>
              <w:t xml:space="preserve">, non seulement à Bruxelles-ville, mais </w:t>
            </w:r>
            <w:proofErr w:type="spellStart"/>
            <w:r w:rsidRPr="006159BE">
              <w:rPr>
                <w:rFonts w:ascii="Times" w:hAnsi="Times"/>
                <w:i/>
                <w:iCs/>
                <w:sz w:val="24"/>
                <w:szCs w:val="24"/>
              </w:rPr>
              <w:t>également</w:t>
            </w:r>
            <w:proofErr w:type="spellEnd"/>
            <w:r w:rsidRPr="006159BE">
              <w:rPr>
                <w:rFonts w:ascii="Times" w:hAnsi="Times"/>
                <w:i/>
                <w:iCs/>
                <w:sz w:val="24"/>
                <w:szCs w:val="24"/>
              </w:rPr>
              <w:t xml:space="preserve"> dans les communes de l’</w:t>
            </w:r>
            <w:proofErr w:type="spellStart"/>
            <w:r w:rsidRPr="006159BE">
              <w:rPr>
                <w:rFonts w:ascii="Times" w:hAnsi="Times"/>
                <w:i/>
                <w:iCs/>
                <w:sz w:val="24"/>
                <w:szCs w:val="24"/>
              </w:rPr>
              <w:t>agglomération</w:t>
            </w:r>
            <w:proofErr w:type="spellEnd"/>
            <w:r w:rsidRPr="006159BE">
              <w:rPr>
                <w:rFonts w:ascii="Times" w:hAnsi="Times"/>
                <w:i/>
                <w:iCs/>
                <w:sz w:val="24"/>
                <w:szCs w:val="24"/>
              </w:rPr>
              <w:t xml:space="preserve"> et dans les </w:t>
            </w:r>
            <w:proofErr w:type="spellStart"/>
            <w:r w:rsidRPr="006159BE">
              <w:rPr>
                <w:rFonts w:ascii="Times" w:hAnsi="Times"/>
                <w:i/>
                <w:iCs/>
                <w:sz w:val="24"/>
                <w:szCs w:val="24"/>
              </w:rPr>
              <w:t>régions</w:t>
            </w:r>
            <w:proofErr w:type="spellEnd"/>
            <w:r w:rsidRPr="006159BE">
              <w:rPr>
                <w:rFonts w:ascii="Times" w:hAnsi="Times"/>
                <w:i/>
                <w:iCs/>
                <w:sz w:val="24"/>
                <w:szCs w:val="24"/>
              </w:rPr>
              <w:t xml:space="preserve"> industrielles du pays. Certains ont du travail ou en cherchent, mais d’autres sont </w:t>
            </w:r>
            <w:proofErr w:type="spellStart"/>
            <w:r w:rsidRPr="006159BE">
              <w:rPr>
                <w:rFonts w:ascii="Times" w:hAnsi="Times"/>
                <w:i/>
                <w:iCs/>
                <w:sz w:val="24"/>
                <w:szCs w:val="24"/>
              </w:rPr>
              <w:t>désœuvrés</w:t>
            </w:r>
            <w:proofErr w:type="spellEnd"/>
            <w:r w:rsidRPr="006159BE">
              <w:rPr>
                <w:rFonts w:ascii="Times" w:hAnsi="Times"/>
                <w:i/>
                <w:iCs/>
                <w:sz w:val="24"/>
                <w:szCs w:val="24"/>
              </w:rPr>
              <w:t xml:space="preserve"> et peu </w:t>
            </w:r>
            <w:proofErr w:type="spellStart"/>
            <w:r w:rsidRPr="006159BE">
              <w:rPr>
                <w:rFonts w:ascii="Times" w:hAnsi="Times"/>
                <w:i/>
                <w:iCs/>
                <w:sz w:val="24"/>
                <w:szCs w:val="24"/>
              </w:rPr>
              <w:t>disposés</w:t>
            </w:r>
            <w:proofErr w:type="spellEnd"/>
            <w:r w:rsidRPr="006159BE">
              <w:rPr>
                <w:rFonts w:ascii="Times" w:hAnsi="Times"/>
                <w:i/>
                <w:iCs/>
                <w:sz w:val="24"/>
                <w:szCs w:val="24"/>
              </w:rPr>
              <w:t xml:space="preserve">, semble-t-il, à rechercher un emploi. Ces derniers forment la </w:t>
            </w:r>
            <w:proofErr w:type="spellStart"/>
            <w:r w:rsidRPr="006159BE">
              <w:rPr>
                <w:rFonts w:ascii="Times" w:hAnsi="Times"/>
                <w:i/>
                <w:iCs/>
                <w:sz w:val="24"/>
                <w:szCs w:val="24"/>
              </w:rPr>
              <w:t>pègre</w:t>
            </w:r>
            <w:proofErr w:type="spellEnd"/>
            <w:r w:rsidRPr="006159BE">
              <w:rPr>
                <w:rFonts w:ascii="Times" w:hAnsi="Times"/>
                <w:i/>
                <w:iCs/>
                <w:sz w:val="24"/>
                <w:szCs w:val="24"/>
              </w:rPr>
              <w:t xml:space="preserve">, la </w:t>
            </w:r>
            <w:proofErr w:type="spellStart"/>
            <w:r w:rsidRPr="006159BE">
              <w:rPr>
                <w:rFonts w:ascii="Times" w:hAnsi="Times"/>
                <w:i/>
                <w:iCs/>
                <w:sz w:val="24"/>
                <w:szCs w:val="24"/>
              </w:rPr>
              <w:t>catégorie</w:t>
            </w:r>
            <w:proofErr w:type="spellEnd"/>
            <w:r w:rsidRPr="006159BE">
              <w:rPr>
                <w:rFonts w:ascii="Times" w:hAnsi="Times"/>
                <w:i/>
                <w:iCs/>
                <w:sz w:val="24"/>
                <w:szCs w:val="24"/>
              </w:rPr>
              <w:t xml:space="preserve"> des </w:t>
            </w:r>
            <w:proofErr w:type="spellStart"/>
            <w:r w:rsidRPr="006159BE">
              <w:rPr>
                <w:rFonts w:ascii="Times" w:hAnsi="Times"/>
                <w:i/>
                <w:iCs/>
                <w:sz w:val="24"/>
                <w:szCs w:val="24"/>
              </w:rPr>
              <w:t>prêts-a</w:t>
            </w:r>
            <w:proofErr w:type="spellEnd"/>
            <w:r w:rsidRPr="006159BE">
              <w:rPr>
                <w:rFonts w:ascii="Times" w:hAnsi="Times"/>
                <w:i/>
                <w:iCs/>
                <w:sz w:val="24"/>
                <w:szCs w:val="24"/>
              </w:rPr>
              <w:t xml:space="preserve">̀-tout, pour se procurer de l’argent. Les nombreuses agressions de ces temps commises par des </w:t>
            </w:r>
            <w:proofErr w:type="spellStart"/>
            <w:r w:rsidRPr="006159BE">
              <w:rPr>
                <w:rFonts w:ascii="Times" w:hAnsi="Times"/>
                <w:i/>
                <w:iCs/>
                <w:sz w:val="24"/>
                <w:szCs w:val="24"/>
              </w:rPr>
              <w:t>étrangers</w:t>
            </w:r>
            <w:proofErr w:type="spellEnd"/>
            <w:r w:rsidRPr="006159BE">
              <w:rPr>
                <w:rFonts w:ascii="Times" w:hAnsi="Times"/>
                <w:i/>
                <w:iCs/>
                <w:sz w:val="24"/>
                <w:szCs w:val="24"/>
              </w:rPr>
              <w:t xml:space="preserve">, sont la preuve de cet </w:t>
            </w:r>
            <w:proofErr w:type="spellStart"/>
            <w:r w:rsidRPr="006159BE">
              <w:rPr>
                <w:rFonts w:ascii="Times" w:hAnsi="Times"/>
                <w:i/>
                <w:iCs/>
                <w:sz w:val="24"/>
                <w:szCs w:val="24"/>
              </w:rPr>
              <w:t>état</w:t>
            </w:r>
            <w:proofErr w:type="spellEnd"/>
            <w:r w:rsidRPr="006159BE">
              <w:rPr>
                <w:rFonts w:ascii="Times" w:hAnsi="Times"/>
                <w:i/>
                <w:iCs/>
                <w:sz w:val="24"/>
                <w:szCs w:val="24"/>
              </w:rPr>
              <w:t xml:space="preserve"> de choses. Il n’est </w:t>
            </w:r>
            <w:proofErr w:type="spellStart"/>
            <w:r w:rsidRPr="006159BE">
              <w:rPr>
                <w:rFonts w:ascii="Times" w:hAnsi="Times"/>
                <w:i/>
                <w:iCs/>
                <w:sz w:val="24"/>
                <w:szCs w:val="24"/>
              </w:rPr>
              <w:t>matériellement</w:t>
            </w:r>
            <w:proofErr w:type="spellEnd"/>
            <w:r w:rsidRPr="006159BE">
              <w:rPr>
                <w:rFonts w:ascii="Times" w:hAnsi="Times"/>
                <w:i/>
                <w:iCs/>
                <w:sz w:val="24"/>
                <w:szCs w:val="24"/>
              </w:rPr>
              <w:t xml:space="preserve"> pas possible d’</w:t>
            </w:r>
            <w:proofErr w:type="spellStart"/>
            <w:r w:rsidRPr="006159BE">
              <w:rPr>
                <w:rFonts w:ascii="Times" w:hAnsi="Times"/>
                <w:i/>
                <w:iCs/>
                <w:sz w:val="24"/>
                <w:szCs w:val="24"/>
              </w:rPr>
              <w:t>opérer</w:t>
            </w:r>
            <w:proofErr w:type="spellEnd"/>
            <w:r w:rsidRPr="006159BE">
              <w:rPr>
                <w:rFonts w:ascii="Times" w:hAnsi="Times"/>
                <w:i/>
                <w:iCs/>
                <w:sz w:val="24"/>
                <w:szCs w:val="24"/>
              </w:rPr>
              <w:t xml:space="preserve"> des </w:t>
            </w:r>
            <w:proofErr w:type="spellStart"/>
            <w:r w:rsidRPr="006159BE">
              <w:rPr>
                <w:rFonts w:ascii="Times" w:hAnsi="Times"/>
                <w:i/>
                <w:iCs/>
                <w:sz w:val="24"/>
                <w:szCs w:val="24"/>
              </w:rPr>
              <w:t>contrôles</w:t>
            </w:r>
            <w:proofErr w:type="spellEnd"/>
            <w:r w:rsidRPr="006159BE">
              <w:rPr>
                <w:rFonts w:ascii="Times" w:hAnsi="Times"/>
                <w:i/>
                <w:iCs/>
                <w:sz w:val="24"/>
                <w:szCs w:val="24"/>
              </w:rPr>
              <w:t xml:space="preserve"> </w:t>
            </w:r>
            <w:proofErr w:type="spellStart"/>
            <w:r w:rsidRPr="006159BE">
              <w:rPr>
                <w:rFonts w:ascii="Times" w:hAnsi="Times"/>
                <w:i/>
                <w:iCs/>
                <w:sz w:val="24"/>
                <w:szCs w:val="24"/>
              </w:rPr>
              <w:t>systématiques</w:t>
            </w:r>
            <w:proofErr w:type="spellEnd"/>
            <w:r w:rsidRPr="006159BE">
              <w:rPr>
                <w:rFonts w:ascii="Times" w:hAnsi="Times"/>
                <w:i/>
                <w:iCs/>
                <w:sz w:val="24"/>
                <w:szCs w:val="24"/>
              </w:rPr>
              <w:t xml:space="preserve"> et </w:t>
            </w:r>
            <w:proofErr w:type="spellStart"/>
            <w:r w:rsidRPr="006159BE">
              <w:rPr>
                <w:rFonts w:ascii="Times" w:hAnsi="Times"/>
                <w:i/>
                <w:iCs/>
                <w:sz w:val="24"/>
                <w:szCs w:val="24"/>
              </w:rPr>
              <w:t>répétés</w:t>
            </w:r>
            <w:proofErr w:type="spellEnd"/>
            <w:r w:rsidRPr="006159BE">
              <w:rPr>
                <w:rFonts w:ascii="Times" w:hAnsi="Times"/>
                <w:i/>
                <w:iCs/>
                <w:sz w:val="24"/>
                <w:szCs w:val="24"/>
              </w:rPr>
              <w:t xml:space="preserve">. Il convient donc de rechercher des solutions susceptibles de mettre fin </w:t>
            </w:r>
            <w:proofErr w:type="spellStart"/>
            <w:r w:rsidRPr="006159BE">
              <w:rPr>
                <w:rFonts w:ascii="Times" w:hAnsi="Times"/>
                <w:i/>
                <w:iCs/>
                <w:sz w:val="24"/>
                <w:szCs w:val="24"/>
              </w:rPr>
              <w:t>a</w:t>
            </w:r>
            <w:proofErr w:type="spellEnd"/>
            <w:r w:rsidRPr="006159BE">
              <w:rPr>
                <w:rFonts w:ascii="Times" w:hAnsi="Times"/>
                <w:i/>
                <w:iCs/>
                <w:sz w:val="24"/>
                <w:szCs w:val="24"/>
              </w:rPr>
              <w:t>̀ une situation incompatible avec le souci d’une saine administration et de la paix et de l’ordre publics »</w:t>
            </w:r>
            <w:r w:rsidR="004C3B8A">
              <w:rPr>
                <w:rStyle w:val="Appelnotedebasdep"/>
                <w:rFonts w:ascii="Times" w:hAnsi="Times"/>
                <w:i/>
                <w:iCs/>
                <w:sz w:val="24"/>
                <w:szCs w:val="24"/>
              </w:rPr>
              <w:footnoteReference w:id="18"/>
            </w:r>
            <w:r w:rsidRPr="006159BE">
              <w:rPr>
                <w:rFonts w:ascii="Times" w:hAnsi="Times"/>
                <w:sz w:val="24"/>
                <w:szCs w:val="24"/>
              </w:rPr>
              <w:t xml:space="preserve">, ce sont avec ces mots que Paul </w:t>
            </w:r>
            <w:proofErr w:type="spellStart"/>
            <w:r w:rsidRPr="006159BE">
              <w:rPr>
                <w:rFonts w:ascii="Times" w:hAnsi="Times"/>
                <w:sz w:val="24"/>
                <w:szCs w:val="24"/>
              </w:rPr>
              <w:t>Lequeux</w:t>
            </w:r>
            <w:proofErr w:type="spellEnd"/>
            <w:r w:rsidRPr="006159BE">
              <w:rPr>
                <w:rFonts w:ascii="Times" w:hAnsi="Times"/>
                <w:sz w:val="24"/>
                <w:szCs w:val="24"/>
              </w:rPr>
              <w:t xml:space="preserve"> (directeur de la direction du contrôle des étrangers et délégué de la Police </w:t>
            </w:r>
            <w:r w:rsidRPr="006159BE">
              <w:rPr>
                <w:rFonts w:ascii="Times" w:hAnsi="Times"/>
                <w:sz w:val="24"/>
                <w:szCs w:val="24"/>
              </w:rPr>
              <w:lastRenderedPageBreak/>
              <w:t xml:space="preserve">des </w:t>
            </w:r>
            <w:proofErr w:type="spellStart"/>
            <w:r w:rsidRPr="006159BE">
              <w:rPr>
                <w:rFonts w:ascii="Times" w:hAnsi="Times"/>
                <w:sz w:val="24"/>
                <w:szCs w:val="24"/>
              </w:rPr>
              <w:t>Etrangers</w:t>
            </w:r>
            <w:proofErr w:type="spellEnd"/>
            <w:r w:rsidRPr="006159BE">
              <w:rPr>
                <w:rFonts w:ascii="Times" w:hAnsi="Times"/>
                <w:sz w:val="24"/>
                <w:szCs w:val="24"/>
              </w:rPr>
              <w:t xml:space="preserve"> à la CTMOE) a parlé des résultats de l’opération au Ministre de la Justice de l’époque.</w:t>
            </w:r>
            <w:r w:rsidRPr="006159BE">
              <w:rPr>
                <w:rFonts w:ascii="TimesNewRomanPS" w:hAnsi="TimesNewRomanPS"/>
                <w:i/>
                <w:iCs/>
                <w:sz w:val="24"/>
                <w:szCs w:val="24"/>
              </w:rPr>
              <w:t xml:space="preserve"> </w:t>
            </w:r>
          </w:p>
          <w:p w14:paraId="4C3B6E24" w14:textId="77777777" w:rsidR="0038353E" w:rsidRPr="006159BE" w:rsidRDefault="0038353E" w:rsidP="0038353E">
            <w:pPr>
              <w:spacing w:line="360" w:lineRule="auto"/>
              <w:jc w:val="both"/>
              <w:rPr>
                <w:rFonts w:ascii="Times" w:hAnsi="Times"/>
                <w:b/>
                <w:bCs/>
                <w:sz w:val="24"/>
                <w:szCs w:val="24"/>
              </w:rPr>
            </w:pPr>
            <w:proofErr w:type="spellStart"/>
            <w:r w:rsidRPr="006159BE">
              <w:rPr>
                <w:rFonts w:ascii="Times" w:hAnsi="Times"/>
                <w:b/>
                <w:bCs/>
                <w:sz w:val="24"/>
                <w:szCs w:val="24"/>
              </w:rPr>
              <w:t>Semira</w:t>
            </w:r>
            <w:proofErr w:type="spellEnd"/>
            <w:r w:rsidRPr="006159BE">
              <w:rPr>
                <w:rFonts w:ascii="Times" w:hAnsi="Times"/>
                <w:b/>
                <w:bCs/>
                <w:sz w:val="24"/>
                <w:szCs w:val="24"/>
              </w:rPr>
              <w:t xml:space="preserve"> </w:t>
            </w:r>
            <w:proofErr w:type="spellStart"/>
            <w:r w:rsidRPr="006159BE">
              <w:rPr>
                <w:rFonts w:ascii="Times" w:hAnsi="Times"/>
                <w:b/>
                <w:bCs/>
                <w:sz w:val="24"/>
                <w:szCs w:val="24"/>
              </w:rPr>
              <w:t>Adamu</w:t>
            </w:r>
            <w:proofErr w:type="spellEnd"/>
            <w:r w:rsidRPr="006159BE">
              <w:rPr>
                <w:rFonts w:ascii="Times" w:hAnsi="Times"/>
                <w:b/>
                <w:bCs/>
                <w:sz w:val="24"/>
                <w:szCs w:val="24"/>
              </w:rPr>
              <w:t xml:space="preserve"> </w:t>
            </w:r>
          </w:p>
          <w:p w14:paraId="1EFD373E" w14:textId="77777777" w:rsidR="0038353E" w:rsidRPr="006159BE" w:rsidRDefault="0038353E" w:rsidP="0038353E">
            <w:pPr>
              <w:spacing w:line="360" w:lineRule="auto"/>
              <w:jc w:val="both"/>
              <w:rPr>
                <w:rFonts w:ascii="Times" w:hAnsi="Times"/>
                <w:sz w:val="24"/>
                <w:szCs w:val="24"/>
              </w:rPr>
            </w:pPr>
            <w:proofErr w:type="spellStart"/>
            <w:r w:rsidRPr="006159BE">
              <w:rPr>
                <w:rFonts w:ascii="Times" w:hAnsi="Times"/>
                <w:sz w:val="24"/>
                <w:szCs w:val="24"/>
              </w:rPr>
              <w:t>Semira</w:t>
            </w:r>
            <w:proofErr w:type="spellEnd"/>
            <w:r w:rsidRPr="006159BE">
              <w:rPr>
                <w:rFonts w:ascii="Times" w:hAnsi="Times"/>
                <w:sz w:val="24"/>
                <w:szCs w:val="24"/>
              </w:rPr>
              <w:t xml:space="preserve"> Adama est une jeune nigériane de 20 ans qui est morte entre les mains de la police lors d’une énième tentative d’expulsion du territoire belge. Elle était demandeuse d’asile et avait fui son pays pour éviter un mariage forcé. </w:t>
            </w:r>
            <w:proofErr w:type="spellStart"/>
            <w:r w:rsidRPr="006159BE">
              <w:rPr>
                <w:rFonts w:ascii="Times" w:hAnsi="Times"/>
                <w:sz w:val="24"/>
                <w:szCs w:val="24"/>
              </w:rPr>
              <w:t>Semira</w:t>
            </w:r>
            <w:proofErr w:type="spellEnd"/>
            <w:r w:rsidRPr="006159BE">
              <w:rPr>
                <w:rFonts w:ascii="Times" w:hAnsi="Times"/>
                <w:sz w:val="24"/>
                <w:szCs w:val="24"/>
              </w:rPr>
              <w:t xml:space="preserve"> a été déboutée de sa demande et s’est retrouvée  bouclée au centre fermé de Steenokkerzeel durant 10 mois. Plusieurs tentatives d’expulsion par avion de ligne ont été mises en place pour la forcer à retourner chez elle, mais c’était sans compter sur la détermination de la jeune femme à ne pas se laisser faire. Des passagers, stupéfaits par la violence des forces de l’ordre à l’encontre de </w:t>
            </w:r>
            <w:proofErr w:type="spellStart"/>
            <w:r w:rsidRPr="006159BE">
              <w:rPr>
                <w:rFonts w:ascii="Times" w:hAnsi="Times"/>
                <w:sz w:val="24"/>
                <w:szCs w:val="24"/>
              </w:rPr>
              <w:t>Semira</w:t>
            </w:r>
            <w:proofErr w:type="spellEnd"/>
            <w:r w:rsidRPr="006159BE">
              <w:rPr>
                <w:rFonts w:ascii="Times" w:hAnsi="Times"/>
                <w:sz w:val="24"/>
                <w:szCs w:val="24"/>
              </w:rPr>
              <w:t xml:space="preserve">, se sont également opposés à son expulsion. Lors de la dernière tentative prévue pour l’expulser, elle a été emmenée pieds et mains liés dans l’avion. Elle a tenté d’empêcher son éviction en commençant à chanter. C’est à ce moment précis que le drame se produit : les gendarmes, autorisés par les autorités à employer la « technique du coussin » tentent d’étouffer les chants et cris de </w:t>
            </w:r>
            <w:proofErr w:type="spellStart"/>
            <w:r w:rsidRPr="006159BE">
              <w:rPr>
                <w:rFonts w:ascii="Times" w:hAnsi="Times"/>
                <w:sz w:val="24"/>
                <w:szCs w:val="24"/>
              </w:rPr>
              <w:t>Semira</w:t>
            </w:r>
            <w:proofErr w:type="spellEnd"/>
            <w:r w:rsidRPr="006159BE">
              <w:rPr>
                <w:rFonts w:ascii="Times" w:hAnsi="Times"/>
                <w:sz w:val="24"/>
                <w:szCs w:val="24"/>
              </w:rPr>
              <w:t xml:space="preserve">. Après être restée immobilisée la tête dans le coussin durant de nombreuses minutes, </w:t>
            </w:r>
            <w:proofErr w:type="spellStart"/>
            <w:r w:rsidRPr="006159BE">
              <w:rPr>
                <w:rFonts w:ascii="Times" w:hAnsi="Times"/>
                <w:sz w:val="24"/>
                <w:szCs w:val="24"/>
              </w:rPr>
              <w:t>Semira</w:t>
            </w:r>
            <w:proofErr w:type="spellEnd"/>
            <w:r w:rsidRPr="006159BE">
              <w:rPr>
                <w:rFonts w:ascii="Times" w:hAnsi="Times"/>
                <w:sz w:val="24"/>
                <w:szCs w:val="24"/>
              </w:rPr>
              <w:t xml:space="preserve"> tombe dans le coma. Elle est emmenée à la clinique Saint-Luc de Bruxelles, où elle est décédée plus tard dans la soirée. Les autorités ont tout d’abord déclaré à travers un communiqué que le décès de </w:t>
            </w:r>
            <w:proofErr w:type="spellStart"/>
            <w:r w:rsidRPr="006159BE">
              <w:rPr>
                <w:rFonts w:ascii="Times" w:hAnsi="Times"/>
                <w:sz w:val="24"/>
                <w:szCs w:val="24"/>
              </w:rPr>
              <w:t>Semira</w:t>
            </w:r>
            <w:proofErr w:type="spellEnd"/>
            <w:r w:rsidRPr="006159BE">
              <w:rPr>
                <w:rFonts w:ascii="Times" w:hAnsi="Times"/>
                <w:sz w:val="24"/>
                <w:szCs w:val="24"/>
              </w:rPr>
              <w:t xml:space="preserve"> n’était aucunement lié à la tentative d’expulsion et qu’il était dû à une hémorragie arrivée accidentellement. Cette version a été également soutenue par l’hôpital Saint-Luc. L’autopsie réalisée sur le corps de la défunte a heureusement pu contrer cette version des faits, révélant une encéphalopathie post-anoxique sévère. La mort de </w:t>
            </w:r>
            <w:proofErr w:type="spellStart"/>
            <w:r w:rsidRPr="006159BE">
              <w:rPr>
                <w:rFonts w:ascii="Times" w:hAnsi="Times"/>
                <w:sz w:val="24"/>
                <w:szCs w:val="24"/>
              </w:rPr>
              <w:t>Semira</w:t>
            </w:r>
            <w:proofErr w:type="spellEnd"/>
            <w:r w:rsidRPr="006159BE">
              <w:rPr>
                <w:rFonts w:ascii="Times" w:hAnsi="Times"/>
                <w:sz w:val="24"/>
                <w:szCs w:val="24"/>
              </w:rPr>
              <w:t xml:space="preserve"> a provoqué un émoi sans précédent en Belgique et a mis en lumière les méthodes extrêmement violentes utilisées sur ordre du ministère de l’intérieur à l’encontre des demandeurs d’asile. Les conséquences du contexte qui a entouré le décès de </w:t>
            </w:r>
            <w:proofErr w:type="spellStart"/>
            <w:r w:rsidRPr="006159BE">
              <w:rPr>
                <w:rFonts w:ascii="Times" w:hAnsi="Times"/>
                <w:sz w:val="24"/>
                <w:szCs w:val="24"/>
              </w:rPr>
              <w:t>Semira</w:t>
            </w:r>
            <w:proofErr w:type="spellEnd"/>
            <w:r w:rsidRPr="006159BE">
              <w:rPr>
                <w:rFonts w:ascii="Times" w:hAnsi="Times"/>
                <w:sz w:val="24"/>
                <w:szCs w:val="24"/>
              </w:rPr>
              <w:t xml:space="preserve"> sont nombreuses : Louis </w:t>
            </w:r>
            <w:proofErr w:type="spellStart"/>
            <w:r w:rsidRPr="006159BE">
              <w:rPr>
                <w:rFonts w:ascii="Times" w:hAnsi="Times"/>
                <w:sz w:val="24"/>
                <w:szCs w:val="24"/>
              </w:rPr>
              <w:t>Tobback</w:t>
            </w:r>
            <w:proofErr w:type="spellEnd"/>
            <w:r w:rsidRPr="006159BE">
              <w:rPr>
                <w:rFonts w:ascii="Times" w:hAnsi="Times"/>
                <w:sz w:val="24"/>
                <w:szCs w:val="24"/>
              </w:rPr>
              <w:t xml:space="preserve">, Ministre de l’intérieur au moment des faits a remis sa démission quelques jours après le drame, la technique du coussin a été définitivement écartée des moyens coercitifs employés par les forces de l’ordre lors des expulsions et toutes les procédures d’expulsion programmées ont été suspendues. A noter que c’est cette même année que 40 000 personnes sans-papiers ont été régularisées. 9 gendarmes ont été inculpés pour le meurtre de </w:t>
            </w:r>
            <w:proofErr w:type="spellStart"/>
            <w:r w:rsidRPr="006159BE">
              <w:rPr>
                <w:rFonts w:ascii="Times" w:hAnsi="Times"/>
                <w:sz w:val="24"/>
                <w:szCs w:val="24"/>
              </w:rPr>
              <w:t>Semira</w:t>
            </w:r>
            <w:proofErr w:type="spellEnd"/>
            <w:r w:rsidRPr="006159BE">
              <w:rPr>
                <w:rFonts w:ascii="Times" w:hAnsi="Times"/>
                <w:sz w:val="24"/>
                <w:szCs w:val="24"/>
              </w:rPr>
              <w:t xml:space="preserve"> et à l’issue du procès qui a eu lieu en 2003, 5 d’entre eux ont été acquittés des différents chefs d’inculpation. Le seul chef d’inculpation retenu à l’encontre des 4 autres est « coups et blessures involontaires ayant entraîné la mort sans intention de la donner » et ils ont été condamnés à une peine d’emprisonnement d’un à quatorze mois avec sursis et 500 </w:t>
            </w:r>
            <w:r w:rsidRPr="006159BE">
              <w:rPr>
                <w:rFonts w:ascii="Times" w:hAnsi="Times"/>
                <w:sz w:val="24"/>
                <w:szCs w:val="24"/>
              </w:rPr>
              <w:lastRenderedPageBreak/>
              <w:t xml:space="preserve">euros d’amende. Le Ministre de l’intérieur et la direction de Saint-Luc n’ont pas été mis en cause dans cette affaire. </w:t>
            </w:r>
          </w:p>
          <w:p w14:paraId="4A65927A" w14:textId="2223C76E" w:rsidR="0038353E" w:rsidRDefault="00B90F01" w:rsidP="00B90F01">
            <w:pPr>
              <w:pStyle w:val="Titre1"/>
              <w:outlineLvl w:val="0"/>
            </w:pPr>
            <w:bookmarkStart w:id="4" w:name="_Toc111585341"/>
            <w:bookmarkStart w:id="5" w:name="_Toc111586373"/>
            <w:r>
              <w:t>Historique des régularisations en Belgique</w:t>
            </w:r>
            <w:bookmarkEnd w:id="4"/>
            <w:bookmarkEnd w:id="5"/>
            <w:r>
              <w:t xml:space="preserve"> </w:t>
            </w:r>
          </w:p>
          <w:p w14:paraId="51A682AE" w14:textId="77777777" w:rsidR="00B90F01" w:rsidRPr="00B90F01" w:rsidRDefault="00B90F01" w:rsidP="00B90F01"/>
          <w:p w14:paraId="35B123FE"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Les seules avancées pour les personnes migrantes sont obtenues de façon ponctuelle, sur le court-terme et après une forte mobilisation de la société civile, des associations et des collectifs de soutien aux sans-papiers. En témoignent les vagues successives de régularisation des sans-papiers. La première a lieu en 1974, suite à l’arrêt de la politique de migration économique. Une mobilisation prend place et se concentre dans la grève de la faim d’une dizaine de sans-papiers qui occupent l’église Saints-Jean-et-Nicolas à Schaerbeek. Les grévistes sont expulsés et renvoyés en Tunisie et au Maroc, ce qui a pour conséquence directe l’amplification de la lutte pour la régularisation. Des négociations prennent enfin place et ce sont pas moins de 9000 sans-papiers qui sont régularisés des suites de la mobilisation, en 1975. L’année charnière en matière de régularisation reste certainement 1998, année durant laquelle Bruxelles connait une hausse des occupations de sans-papiers, avec un nouvel épisode de grèves de la faim. La mort de </w:t>
            </w:r>
            <w:proofErr w:type="spellStart"/>
            <w:r w:rsidRPr="006159BE">
              <w:rPr>
                <w:rFonts w:ascii="Times" w:hAnsi="Times"/>
                <w:sz w:val="24"/>
                <w:szCs w:val="24"/>
              </w:rPr>
              <w:t>Semira</w:t>
            </w:r>
            <w:proofErr w:type="spellEnd"/>
            <w:r w:rsidRPr="006159BE">
              <w:rPr>
                <w:rFonts w:ascii="Times" w:hAnsi="Times"/>
                <w:sz w:val="24"/>
                <w:szCs w:val="24"/>
              </w:rPr>
              <w:t xml:space="preserve"> </w:t>
            </w:r>
            <w:proofErr w:type="spellStart"/>
            <w:r w:rsidRPr="006159BE">
              <w:rPr>
                <w:rFonts w:ascii="Times" w:hAnsi="Times"/>
                <w:sz w:val="24"/>
                <w:szCs w:val="24"/>
              </w:rPr>
              <w:t>Adamu</w:t>
            </w:r>
            <w:proofErr w:type="spellEnd"/>
            <w:r w:rsidRPr="006159BE">
              <w:rPr>
                <w:rFonts w:ascii="Times" w:hAnsi="Times"/>
                <w:sz w:val="24"/>
                <w:szCs w:val="24"/>
              </w:rPr>
              <w:t xml:space="preserve">, le 22 septembre de la même année, marque le point culminant de la mobilisation. Suite à l’effroi suscité par les conditions qui entourent sa mort, c’est une campagne de régularisation considérable qui voit le jour. Environ 40 000 personnes sont régularisées cette année-là. D’autres phases, moins importantes, de régularisation ont lieu en 2003, en 2009 et 2019, toujours en réaction à l’importante mobilisation des sans-papiers. Malgré la création, en 2003, de plusieurs groupes de soutien aux sans-papiers, tels que l’UDEP (Union pour la Défense des Sans-papiers) et le CAS (Comité d’Action pour les Sans-papiers) qui regroupent, d’une part des militants, des sans-papiers, des avocats dans l’UDEP et de personnes issues du milieu associatif dans le CAS, le nombre de régularisations est très faible et les critères imposés par l’Office des étrangers toujours aussi brumeux. La régularisation de 2009 devait se faire sur base de critères tels que la possession d’un contrat de travail et d’un ancrage local stable. Cependant, la procédure est compliquée et très longue, faisant échouer nombre de demandes. La phase de 2019 était, quant à elle, basée sur des critères complètement aléatoire de l’Office des étrangers. </w:t>
            </w:r>
          </w:p>
          <w:p w14:paraId="67BEA0A9" w14:textId="7BF01E21" w:rsidR="0038353E" w:rsidRDefault="0038353E" w:rsidP="0038353E">
            <w:pPr>
              <w:spacing w:line="360" w:lineRule="auto"/>
              <w:jc w:val="both"/>
              <w:rPr>
                <w:rFonts w:ascii="Times" w:hAnsi="Times"/>
                <w:sz w:val="24"/>
                <w:szCs w:val="24"/>
              </w:rPr>
            </w:pPr>
            <w:r w:rsidRPr="006159BE">
              <w:rPr>
                <w:rFonts w:ascii="Times" w:hAnsi="Times"/>
                <w:sz w:val="24"/>
                <w:szCs w:val="24"/>
              </w:rPr>
              <w:t xml:space="preserve">24 ans après l’assassinat de </w:t>
            </w:r>
            <w:proofErr w:type="spellStart"/>
            <w:r w:rsidRPr="006159BE">
              <w:rPr>
                <w:rFonts w:ascii="Times" w:hAnsi="Times"/>
                <w:sz w:val="24"/>
                <w:szCs w:val="24"/>
              </w:rPr>
              <w:t>Semira</w:t>
            </w:r>
            <w:proofErr w:type="spellEnd"/>
            <w:r w:rsidRPr="006159BE">
              <w:rPr>
                <w:rFonts w:ascii="Times" w:hAnsi="Times"/>
                <w:sz w:val="24"/>
                <w:szCs w:val="24"/>
              </w:rPr>
              <w:t xml:space="preserve"> </w:t>
            </w:r>
            <w:proofErr w:type="spellStart"/>
            <w:r w:rsidRPr="006159BE">
              <w:rPr>
                <w:rFonts w:ascii="Times" w:hAnsi="Times"/>
                <w:sz w:val="24"/>
                <w:szCs w:val="24"/>
              </w:rPr>
              <w:t>Adamu</w:t>
            </w:r>
            <w:proofErr w:type="spellEnd"/>
            <w:r w:rsidRPr="006159BE">
              <w:rPr>
                <w:rFonts w:ascii="Times" w:hAnsi="Times"/>
                <w:sz w:val="24"/>
                <w:szCs w:val="24"/>
              </w:rPr>
              <w:t xml:space="preserve"> par des policiers, force est de constater que la situation des migrants ne s’est pas améliorée sur le sol belge. </w:t>
            </w:r>
          </w:p>
          <w:p w14:paraId="45C0DEC9" w14:textId="418A6546" w:rsidR="00B90F01" w:rsidRDefault="00B90F01" w:rsidP="00B90F01">
            <w:pPr>
              <w:pStyle w:val="Titre1"/>
              <w:outlineLvl w:val="0"/>
            </w:pPr>
            <w:bookmarkStart w:id="6" w:name="_Toc111585342"/>
            <w:bookmarkStart w:id="7" w:name="_Toc111586374"/>
            <w:r>
              <w:t>Les personnes migrantes face à la police</w:t>
            </w:r>
            <w:bookmarkEnd w:id="6"/>
            <w:bookmarkEnd w:id="7"/>
          </w:p>
          <w:p w14:paraId="755C0844" w14:textId="77777777" w:rsidR="00B90F01" w:rsidRPr="00B90F01" w:rsidRDefault="00B90F01" w:rsidP="00B90F01"/>
          <w:p w14:paraId="172667FC" w14:textId="77777777" w:rsidR="0038353E" w:rsidRPr="006159BE" w:rsidRDefault="0038353E" w:rsidP="0038353E">
            <w:pPr>
              <w:spacing w:line="360" w:lineRule="auto"/>
              <w:jc w:val="both"/>
              <w:rPr>
                <w:rFonts w:ascii="Times" w:hAnsi="Times"/>
                <w:b/>
                <w:bCs/>
                <w:sz w:val="24"/>
                <w:szCs w:val="24"/>
              </w:rPr>
            </w:pPr>
            <w:proofErr w:type="spellStart"/>
            <w:r w:rsidRPr="006159BE">
              <w:rPr>
                <w:rFonts w:ascii="Times" w:hAnsi="Times"/>
                <w:b/>
                <w:bCs/>
                <w:sz w:val="24"/>
                <w:szCs w:val="24"/>
              </w:rPr>
              <w:lastRenderedPageBreak/>
              <w:t>Mawda</w:t>
            </w:r>
            <w:proofErr w:type="spellEnd"/>
          </w:p>
          <w:p w14:paraId="376FFA4D" w14:textId="52CC2907" w:rsidR="0038353E" w:rsidRPr="006159BE" w:rsidRDefault="0038353E" w:rsidP="0038353E">
            <w:pPr>
              <w:spacing w:line="360" w:lineRule="auto"/>
              <w:jc w:val="both"/>
              <w:rPr>
                <w:rFonts w:ascii="Times" w:hAnsi="Times" w:cs="Arial"/>
                <w:sz w:val="24"/>
                <w:szCs w:val="24"/>
                <w:shd w:val="clear" w:color="auto" w:fill="FFFFFF"/>
              </w:rPr>
            </w:pPr>
            <w:proofErr w:type="spellStart"/>
            <w:r w:rsidRPr="006159BE">
              <w:rPr>
                <w:rFonts w:ascii="Times" w:hAnsi="Times" w:cs="Arial"/>
                <w:sz w:val="24"/>
                <w:szCs w:val="24"/>
              </w:rPr>
              <w:t>Mawda</w:t>
            </w:r>
            <w:proofErr w:type="spellEnd"/>
            <w:r w:rsidRPr="006159BE">
              <w:rPr>
                <w:rFonts w:ascii="Times" w:hAnsi="Times" w:cs="Arial"/>
                <w:sz w:val="24"/>
                <w:szCs w:val="24"/>
                <w:shd w:val="clear" w:color="auto" w:fill="FFFFFF"/>
              </w:rPr>
              <w:t> </w:t>
            </w:r>
            <w:proofErr w:type="spellStart"/>
            <w:r w:rsidRPr="006159BE">
              <w:rPr>
                <w:rFonts w:ascii="Times" w:hAnsi="Times" w:cs="Arial"/>
                <w:sz w:val="24"/>
                <w:szCs w:val="24"/>
                <w:shd w:val="clear" w:color="auto" w:fill="FFFFFF"/>
              </w:rPr>
              <w:t>Shamdin</w:t>
            </w:r>
            <w:proofErr w:type="spellEnd"/>
            <w:r w:rsidRPr="006159BE">
              <w:rPr>
                <w:rFonts w:ascii="Times" w:hAnsi="Times" w:cs="Arial"/>
                <w:sz w:val="24"/>
                <w:szCs w:val="24"/>
                <w:shd w:val="clear" w:color="auto" w:fill="FFFFFF"/>
              </w:rPr>
              <w:t xml:space="preserve"> Ali est une fillette dont la vie a été fauchée à l’âge de deux ans. Elle est décédée d’une balle dans la tête tirée intentionnellement par un policier.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et sa famille fuyaient l’instabilité du </w:t>
            </w:r>
            <w:proofErr w:type="spellStart"/>
            <w:r w:rsidRPr="006159BE">
              <w:rPr>
                <w:rFonts w:ascii="Times" w:hAnsi="Times" w:cs="Arial"/>
                <w:sz w:val="24"/>
                <w:szCs w:val="24"/>
                <w:shd w:val="clear" w:color="auto" w:fill="FFFFFF"/>
              </w:rPr>
              <w:t>kurdistan</w:t>
            </w:r>
            <w:proofErr w:type="spellEnd"/>
            <w:r w:rsidRPr="006159BE">
              <w:rPr>
                <w:rFonts w:ascii="Times" w:hAnsi="Times" w:cs="Arial"/>
                <w:sz w:val="24"/>
                <w:szCs w:val="24"/>
                <w:shd w:val="clear" w:color="auto" w:fill="FFFFFF"/>
              </w:rPr>
              <w:t xml:space="preserve"> irakien et espéraient trouver refuge en Grande-Bretagne. Pour ce faire, ils ont traversé entre autres la Belgique à bord d’un véhicule occupé également par d’autres familles migrantes irakiennes et afghanes. Cependant, le cours de leur trajet a été perturbé par des unités de police : la police de la route de Namur et le CIK (le corps d’intervention de la police fédérale), spécialement dépêchés sur les aires d’autoroute afin d’intercepter les migrants dits « illégaux », dans le cadre de l’opération </w:t>
            </w:r>
            <w:proofErr w:type="spellStart"/>
            <w:r w:rsidRPr="006159BE">
              <w:rPr>
                <w:rFonts w:ascii="Times" w:hAnsi="Times" w:cs="Arial"/>
                <w:sz w:val="24"/>
                <w:szCs w:val="24"/>
                <w:shd w:val="clear" w:color="auto" w:fill="FFFFFF"/>
              </w:rPr>
              <w:t>Medusa</w:t>
            </w:r>
            <w:proofErr w:type="spellEnd"/>
            <w:r w:rsidRPr="006159BE">
              <w:rPr>
                <w:rFonts w:ascii="Times" w:hAnsi="Times" w:cs="Arial"/>
                <w:sz w:val="24"/>
                <w:szCs w:val="24"/>
                <w:shd w:val="clear" w:color="auto" w:fill="FFFFFF"/>
              </w:rPr>
              <w:t xml:space="preserve">. Les policiers ayant identifié la camionnette comme étant le moyen de transport de migrants, une course poursuite a démarré.  Là où la plupart des policiers ont eu le bon sens de ne pas sortir leur arme pour arrêter le véhicule, l’un d’eux n’a pas hésité à faire feu sans se soucier de la dangerosité d’un geste qui pouvait coûter la vie.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est donc décédée d’une balle en pleine tête. Ses parents ont ensuite été emmenés au commissariat. Au lendemain de la macabre course-poursuite, une déferlante de mensonges et un argumentaire qui consiste à systématiquement blâmer les parents de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pour la mort de leur fille s’emparent des médias :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aurait été utilisée comme bélier ou comme bouclier humain par ses parents, prêts à tout pour sauver leur peau, pour résumer, des scénarios plus terribles les uns que les autres. Cela va plus loin : au-delà des mensonges des policiers pour couvrir leur collègue tireur, des médias qui se veulent l’étendard de la version policière, un médecin légiste a prétendu que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n’était pas décédée suite au tir du policier. Les autorités compétentes ont voulu faire porter la responsabilité de la mort de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au chauffeur de la camionnette sous couvert d’entrave méchante à la circulation (ayant entraîné la mort de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et de rébellion armée. Le récit policier consistait à expliquer que la course-poursuite dégénérait et prenait des proportions ingérables qui nécessitaient un usage de la force plus conséquent. Selon eux, ce sont donc le conducteur et les migrants présents dans la camionnette qui sont responsables de la mort de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 le conducteur roulait comme un chauffard (en transportant une trentaine de personnes), tentait de percuter les voitures de police lancées à ses trousses et les parents de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se seraient servis de leur petite fille pour se protéger. Le policier responsable du tir a finalement été inculpé et, en février 2021, a été reconnu coupable du meurtre de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Il est condamné en première instance à un an de prison avec sursis et 400 euros d’amende. Sentence qui sera finalement revue à la baisse lorsque le policier a fait appel : il écopera finalement de 10 mois de prison avec sursis et 400 euros d’amende. La </w:t>
            </w:r>
            <w:r w:rsidRPr="006159BE">
              <w:rPr>
                <w:rFonts w:ascii="Times" w:hAnsi="Times" w:cs="Arial"/>
                <w:sz w:val="24"/>
                <w:szCs w:val="24"/>
                <w:shd w:val="clear" w:color="auto" w:fill="FFFFFF"/>
              </w:rPr>
              <w:lastRenderedPageBreak/>
              <w:t xml:space="preserve">justice de Mons a estimé que le coup de feu était accidentel, qu’il n’y avait pas d’intention d’attenter à la vie, mais que le policier avait bien commis une erreur en faisant usage de son arme. Le conducteur de la camionnette, quant à lui, a écopé de quatre années de prison ferme pour « entrave méchant à la circulation ayant entraîné la mort ». Le policier jouit donc d’une peine extrêmement légère. Ce qui n’a rien d’étonnant compte tenu de la complaisance de la justice avec les policiers dans les affaires de mises à mort. A ce sujet, </w:t>
            </w:r>
            <w:proofErr w:type="spellStart"/>
            <w:r w:rsidRPr="004C3B8A">
              <w:rPr>
                <w:rFonts w:ascii="Times" w:hAnsi="Times" w:cs="Arial"/>
                <w:sz w:val="24"/>
                <w:szCs w:val="24"/>
                <w:shd w:val="clear" w:color="auto" w:fill="FFFFFF"/>
              </w:rPr>
              <w:t>StreetPress</w:t>
            </w:r>
            <w:proofErr w:type="spellEnd"/>
            <w:r w:rsidRPr="004C3B8A">
              <w:rPr>
                <w:rFonts w:ascii="Times" w:hAnsi="Times" w:cs="Arial"/>
                <w:sz w:val="24"/>
                <w:szCs w:val="24"/>
                <w:shd w:val="clear" w:color="auto" w:fill="FFFFFF"/>
              </w:rPr>
              <w:t xml:space="preserve"> (média indépendant créé notamment par un journaliste et par Patrick Weil, politologue) </w:t>
            </w:r>
            <w:r w:rsidRPr="006159BE">
              <w:rPr>
                <w:rFonts w:ascii="Times" w:hAnsi="Times" w:cs="Arial"/>
                <w:sz w:val="24"/>
                <w:szCs w:val="24"/>
                <w:shd w:val="clear" w:color="auto" w:fill="FFFFFF"/>
              </w:rPr>
              <w:t xml:space="preserve">fait état d’un constat assez alarmant en ce qui concerne les peines écopées par les policiers. En effet, en 2017 ils publiaient un article très fouillé qui revenait sur les affaires de 47 personnes décédées suite à leur rencontre avec les forces de l’ordre. Le constat est sans appel : en 10 ans et sur 47 personnes décédées (pourtant désarmées aux moments des faits), pas un seul policier n’a terminé en prison. Seules trois affaires ont abouti à la condamnation d’un policier, mais pas une seule peine de prison ferme n’a été prononcée. L’on peut légitimement se demander si n’importe quel individu pourrait jouir du même laxisme. Si l’on tient compte des statistiques, en Belgique, la population carcérale s’élevait à 10 808 individus en 2021, parmi lesquels 56,2% de belges et 43% de non-belges. Les 43% ont de quoi surprendre lorsque l’on sait que dans la population au sens large, le taux de non-belges ne représente que 12,6%. Il y a donc une surreprésentation de personnes non-belges en prison. En 2013, </w:t>
            </w:r>
            <w:proofErr w:type="spellStart"/>
            <w:r w:rsidRPr="006159BE">
              <w:rPr>
                <w:rFonts w:ascii="Times" w:hAnsi="Times" w:cs="Arial"/>
                <w:sz w:val="24"/>
                <w:szCs w:val="24"/>
                <w:shd w:val="clear" w:color="auto" w:fill="FFFFFF"/>
              </w:rPr>
              <w:t>Eric</w:t>
            </w:r>
            <w:proofErr w:type="spellEnd"/>
            <w:r w:rsidRPr="006159BE">
              <w:rPr>
                <w:rFonts w:ascii="Times" w:hAnsi="Times" w:cs="Arial"/>
                <w:sz w:val="24"/>
                <w:szCs w:val="24"/>
                <w:shd w:val="clear" w:color="auto" w:fill="FFFFFF"/>
              </w:rPr>
              <w:t xml:space="preserve"> Maes (criminologue) expliquait que « seuls 57,3% de ces détenus étaient emprisonnés sur la base d’une condamnation ; 31,8% étaient dans l’attente d’un jugement et 10% internés »</w:t>
            </w:r>
            <w:r w:rsidR="00635E2D">
              <w:rPr>
                <w:rStyle w:val="Appelnotedebasdep"/>
                <w:rFonts w:ascii="Times" w:hAnsi="Times" w:cs="Arial"/>
                <w:sz w:val="24"/>
                <w:szCs w:val="24"/>
                <w:shd w:val="clear" w:color="auto" w:fill="FFFFFF"/>
              </w:rPr>
              <w:footnoteReference w:id="19"/>
            </w:r>
            <w:r w:rsidRPr="006159BE">
              <w:rPr>
                <w:rFonts w:ascii="Times" w:hAnsi="Times" w:cs="Arial"/>
                <w:sz w:val="24"/>
                <w:szCs w:val="24"/>
                <w:shd w:val="clear" w:color="auto" w:fill="FFFFFF"/>
              </w:rPr>
              <w:t xml:space="preserve">. Un policier reconnu coupable de la mort d’une personne ne passe donc à aucun moment par la case prison, en revanche, plus de 30% des individus qui remplissent nos prisons sont simplement en attente de jugement. Vous avez dit complaisance ? Comme le souligne Martin Vander Elst, « Même les très rares policiers qui seraient malgré tout condamnés à du sursis des suites d’une procédure judiciaire, comme l’a été en première instance le policier qui a tué </w:t>
            </w:r>
            <w:proofErr w:type="spellStart"/>
            <w:r w:rsidRPr="006159BE">
              <w:rPr>
                <w:rFonts w:ascii="Times" w:hAnsi="Times" w:cs="Arial"/>
                <w:sz w:val="24"/>
                <w:szCs w:val="24"/>
                <w:shd w:val="clear" w:color="auto" w:fill="FFFFFF"/>
              </w:rPr>
              <w:t>Mawda</w:t>
            </w:r>
            <w:proofErr w:type="spellEnd"/>
            <w:r w:rsidRPr="006159BE">
              <w:rPr>
                <w:rFonts w:ascii="Times" w:hAnsi="Times" w:cs="Arial"/>
                <w:sz w:val="24"/>
                <w:szCs w:val="24"/>
                <w:shd w:val="clear" w:color="auto" w:fill="FFFFFF"/>
              </w:rPr>
              <w:t xml:space="preserve">, bénéficient en réalité d’une sorte de non-lieu de fait dans la mesure où malgré une marque criminelle dans leur casier judiciaire, ils continuent à pouvoir exercer leur fonction de policier </w:t>
            </w:r>
            <w:r w:rsidRPr="006159BE">
              <w:rPr>
                <w:rFonts w:ascii="Times" w:hAnsi="Times" w:cs="Arial"/>
                <w:sz w:val="24"/>
                <w:szCs w:val="24"/>
                <w:shd w:val="clear" w:color="auto" w:fill="FFFFFF"/>
              </w:rPr>
              <w:lastRenderedPageBreak/>
              <w:t>en toute impunité. On a alors l’impression que c’est la justice qui fonctionne pour soutenir l’impunité des crimes et violences policières racistes »</w:t>
            </w:r>
            <w:r w:rsidR="00635E2D">
              <w:rPr>
                <w:rStyle w:val="Appelnotedebasdep"/>
                <w:rFonts w:ascii="Times" w:hAnsi="Times" w:cs="Arial"/>
                <w:sz w:val="24"/>
                <w:szCs w:val="24"/>
                <w:shd w:val="clear" w:color="auto" w:fill="FFFFFF"/>
              </w:rPr>
              <w:footnoteReference w:id="20"/>
            </w:r>
            <w:r w:rsidRPr="006159BE">
              <w:rPr>
                <w:rFonts w:ascii="Times" w:hAnsi="Times" w:cs="Arial"/>
                <w:sz w:val="24"/>
                <w:szCs w:val="24"/>
                <w:shd w:val="clear" w:color="auto" w:fill="FFFFFF"/>
              </w:rPr>
              <w:t xml:space="preserve">. </w:t>
            </w:r>
          </w:p>
          <w:p w14:paraId="5DE227F3" w14:textId="77777777" w:rsidR="0038353E" w:rsidRPr="006159BE" w:rsidRDefault="0038353E" w:rsidP="0038353E">
            <w:pPr>
              <w:spacing w:line="360" w:lineRule="auto"/>
              <w:jc w:val="both"/>
              <w:rPr>
                <w:rFonts w:ascii="Times" w:hAnsi="Times" w:cs="Arial"/>
                <w:sz w:val="24"/>
                <w:szCs w:val="24"/>
                <w:shd w:val="clear" w:color="auto" w:fill="FFFFFF"/>
              </w:rPr>
            </w:pPr>
            <w:r w:rsidRPr="006159BE">
              <w:rPr>
                <w:rFonts w:ascii="Times" w:hAnsi="Times" w:cs="Arial"/>
                <w:sz w:val="24"/>
                <w:szCs w:val="24"/>
                <w:shd w:val="clear" w:color="auto" w:fill="FFFFFF"/>
              </w:rPr>
              <w:t xml:space="preserve">Nous verrons plus tard dans ce travail que l’argumentaire policier consiste toujours à inverser la responsabilité de la montée du degré de violence, comme dans le cadre de la mort de Lamine Bangoura. Les policiers ne sont, par principe, jamais en tort. Ils réagissent simplement à une menace, en toute proportionnalité. </w:t>
            </w:r>
          </w:p>
          <w:p w14:paraId="48237629" w14:textId="77777777" w:rsidR="0038353E" w:rsidRPr="006159BE" w:rsidRDefault="0038353E" w:rsidP="0038353E">
            <w:pPr>
              <w:spacing w:line="360" w:lineRule="auto"/>
              <w:rPr>
                <w:rFonts w:ascii="Times" w:hAnsi="Times"/>
                <w:sz w:val="24"/>
                <w:szCs w:val="24"/>
              </w:rPr>
            </w:pPr>
          </w:p>
          <w:p w14:paraId="1378D76B" w14:textId="77777777" w:rsidR="0038353E" w:rsidRPr="006159BE" w:rsidRDefault="0038353E" w:rsidP="0038353E">
            <w:pPr>
              <w:spacing w:line="360" w:lineRule="auto"/>
              <w:jc w:val="both"/>
              <w:rPr>
                <w:rFonts w:ascii="Times" w:hAnsi="Times"/>
                <w:b/>
                <w:bCs/>
                <w:sz w:val="24"/>
                <w:szCs w:val="24"/>
              </w:rPr>
            </w:pPr>
            <w:r w:rsidRPr="006159BE">
              <w:rPr>
                <w:rFonts w:ascii="Times" w:hAnsi="Times"/>
                <w:b/>
                <w:bCs/>
                <w:sz w:val="24"/>
                <w:szCs w:val="24"/>
              </w:rPr>
              <w:t xml:space="preserve">Mohamed Amine Berkane </w:t>
            </w:r>
          </w:p>
          <w:p w14:paraId="1DECD327"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Mohamed Amine Berkane est un jeune sans-papiers de 26 ans d’origine algérienne qui a trouvé la mort, comme nombre de personnes avant lui, dans une cellule d’un commissariat de Bruxelles. Arrêté le soir du 12 décembre 2021 avec son ami Hicham, seul ce dernier ressortira vivant de cette nuit au poste. Ils ont tous les deux été arrêtés pour une suspicion de vol de téléphone. Hicham affirme que son ami et lui ont subi des violences dès que les policiers les ont interpellés et qu’elles se sont poursuivies une fois qu’ils avaient tous les deux été placés dans la voiture pour aller vers le commissariat. Pour des raisons qui restent obscures, les deux amis ont été séparés à leur arrivée au commissariat et Hicham n’a plus jamais revu Mohamed. Il affirme par ailleurs qu’il entendait son ami crier au poste de police et que soudainement, plus aucun bruit ne lui est parvenu. Ce qui surprend dans cette affaire, c’est que, selon le Parquet de Bruxelles, le médecin en charge d’évaluer l’état de santé de la personne privée de liberté a signé le document « vu et soigné » (censé décharger les policiers de toute responsabilité en cas de souci de santé de l’individu arrêté) en voyant Mohamed. Si le médecin a bel et bien attesté du bon état de santé de Mohamed lors de son arrivée au commissariat et que les policiers ne sont pas responsables de la mort de ce dernier, comment Mohamed a-t-il trouvé la mort ? Que s’est-il passé entre le moment où les deux amis ont passé la porte du commissariat et le moment où Mohamed a été découvert mort en cellule le lendemain après-midi ? Cette affaire fait écho à une histoire arrivée plus tôt la même année dans le même commissariat de la rue Royale : Ilyes </w:t>
            </w:r>
            <w:proofErr w:type="spellStart"/>
            <w:r w:rsidRPr="006159BE">
              <w:rPr>
                <w:rFonts w:ascii="Times" w:hAnsi="Times"/>
                <w:sz w:val="24"/>
                <w:szCs w:val="24"/>
              </w:rPr>
              <w:t>Abbedou</w:t>
            </w:r>
            <w:proofErr w:type="spellEnd"/>
            <w:r w:rsidRPr="006159BE">
              <w:rPr>
                <w:rFonts w:ascii="Times" w:hAnsi="Times"/>
                <w:sz w:val="24"/>
                <w:szCs w:val="24"/>
              </w:rPr>
              <w:t xml:space="preserve">, un jeune de 29 ans, sans-papiers et d’origine algérienne également avait été arrêté pour un vol de veste dans un centre </w:t>
            </w:r>
            <w:r w:rsidRPr="006159BE">
              <w:rPr>
                <w:rFonts w:ascii="Times" w:hAnsi="Times"/>
                <w:sz w:val="24"/>
                <w:szCs w:val="24"/>
              </w:rPr>
              <w:lastRenderedPageBreak/>
              <w:t xml:space="preserve">commercial de Bruxelles. Il a été arrêté, placé en détention au commissariat et n’en est pas sorti vivant.  </w:t>
            </w:r>
          </w:p>
          <w:p w14:paraId="216D4A40" w14:textId="48469C95" w:rsidR="0038353E" w:rsidRDefault="00B90F01" w:rsidP="00B90F01">
            <w:pPr>
              <w:pStyle w:val="Titre1"/>
              <w:outlineLvl w:val="0"/>
            </w:pPr>
            <w:bookmarkStart w:id="8" w:name="_Toc111585343"/>
            <w:bookmarkStart w:id="9" w:name="_Toc111586375"/>
            <w:r>
              <w:t>L</w:t>
            </w:r>
            <w:r w:rsidRPr="006159BE">
              <w:t>es descendants de l’immigration dans le viseur</w:t>
            </w:r>
            <w:bookmarkEnd w:id="8"/>
            <w:bookmarkEnd w:id="9"/>
            <w:r w:rsidRPr="006159BE">
              <w:t xml:space="preserve"> </w:t>
            </w:r>
          </w:p>
          <w:p w14:paraId="57F1D7F2" w14:textId="77777777" w:rsidR="00B90F01" w:rsidRPr="00B90F01" w:rsidRDefault="00B90F01" w:rsidP="00B90F01"/>
          <w:p w14:paraId="78C62CDF"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La </w:t>
            </w:r>
            <w:proofErr w:type="spellStart"/>
            <w:r w:rsidRPr="006159BE">
              <w:rPr>
                <w:rFonts w:ascii="Times" w:hAnsi="Times"/>
                <w:sz w:val="24"/>
                <w:szCs w:val="24"/>
              </w:rPr>
              <w:t>nécropolitique</w:t>
            </w:r>
            <w:proofErr w:type="spellEnd"/>
            <w:r w:rsidRPr="006159BE">
              <w:rPr>
                <w:rFonts w:ascii="Times" w:hAnsi="Times"/>
                <w:sz w:val="24"/>
                <w:szCs w:val="24"/>
              </w:rPr>
              <w:t xml:space="preserve"> ne concerne cependant pas uniquement les migrants, elle a bien sûr des implications directes sur d’autres catégories de la population, à savoir entre autres les descendants de l’immigration. </w:t>
            </w:r>
          </w:p>
          <w:p w14:paraId="65B46CFB" w14:textId="77777777" w:rsidR="0038353E" w:rsidRPr="006159BE" w:rsidRDefault="0038353E" w:rsidP="0038353E">
            <w:pPr>
              <w:spacing w:line="360" w:lineRule="auto"/>
              <w:jc w:val="both"/>
              <w:rPr>
                <w:rFonts w:ascii="Times" w:hAnsi="Times"/>
                <w:sz w:val="24"/>
                <w:szCs w:val="24"/>
              </w:rPr>
            </w:pPr>
            <w:r w:rsidRPr="006159BE">
              <w:rPr>
                <w:rFonts w:ascii="Times" w:hAnsi="Times"/>
                <w:b/>
                <w:bCs/>
                <w:sz w:val="24"/>
                <w:szCs w:val="24"/>
              </w:rPr>
              <w:t>Lamine Bangoura</w:t>
            </w:r>
          </w:p>
          <w:p w14:paraId="55C5D0B1" w14:textId="670A34C2"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Lamine Bangoura est un jeune de 27 ans, originaire de Guinée-Conakry qui a été tué par des policiers à son domicile, situé à Roulers en Flandre Orientale. C’est à cause d’un loyer impayé qu’un huissier de justice, accompagné de son assistant ainsi que de deux policiers se sont rendu au domicile de Lamine le 7 mai 2018. Lamine, réveillé dans son sommeil, ne comprend pas pourquoi il se retrouve face à face avec tout ce monde en ouvrant la porte. Il n’a pas relevé le courrier et n’est donc pas au courant qu’il a reçu une lettre d’expulsion. La situation s’envenime rapidement lorsque le chien de Lamine fait son apparition. Tout ce beau monde craignant que l’animal soit utilisé comme une arme, c’est bientôt au nombre de 8 que se retrouvent les policiers dans l’appartement de Lamine. Les policiers finiront par immobiliser Lamine. Quatre d’entre eux l’ont maintenu sur le ventre en tenant son visage, tandis que d’autres lui tenaient les jambes. L’assistant de l’huissier a filmé l’opération et on peut très distinctement identifier les cris de souffrance et de terreur de Lamine. Les plaintes de Lamine ne sont pas entendues ou ignorées par les policiers qui justifieront ensuite leurs gestes coercitifs d’une violence rare en expliquant que la victime était dotée d’une force colossale, était droguée aux médicaments et qu’elle refusait d’obtempérer. Comme toujours, la rhétorique policière consiste à faire passer la victime pour responsable de sa mort. Ce ne sont pas des cris de détresse qui étaient poussés par Lamine, mais bien des rugissements, à la manière d’un animal qui ne veut pas se laisser faire. La force employée était légitime et proportionnée face à un individu récalcitrant et agressif. Il fallait bien huit policiers pour le contenir. La police comme la justice n’ont pas accordé la moindre importance à la vie de Lamine. Si l’on en croit la Cour, les policiers ont été profondément choqués par cette intervention et ont tenté de sauver Lamine en faisant appel à une ambulance. De plus, les policier sont correctement formés, il n’y a pas à douter de leurs méthodes. Pour charger la victime, on lui a reproché d’être sous l’emprise de médicaments, de ne pas avoir relevé son courrier, d’être en possession d’un chien potentiellement agressif. Même son corps et sa </w:t>
            </w:r>
            <w:r w:rsidRPr="006159BE">
              <w:rPr>
                <w:rFonts w:ascii="Times" w:hAnsi="Times"/>
                <w:sz w:val="24"/>
                <w:szCs w:val="24"/>
              </w:rPr>
              <w:lastRenderedPageBreak/>
              <w:t>personne sont utilisés contre lui pour justifier la violence employée par la police: il est imposant et il hurle. « </w:t>
            </w:r>
            <w:r w:rsidRPr="006159BE">
              <w:rPr>
                <w:rFonts w:ascii="Times" w:hAnsi="Times" w:cs="Arial"/>
                <w:color w:val="202124"/>
                <w:sz w:val="24"/>
                <w:szCs w:val="24"/>
                <w:shd w:val="clear" w:color="auto" w:fill="FFFFFF"/>
              </w:rPr>
              <w:t>[est retirée à Lamine la possibilité qu’un cri soit un appel à l’aide, renvoyant au caractère inarticulé de ses paroles : on a entendu « l’homme gémir et crier fort, une sorte de sons d’animaux, même des rugissements (…) il continuait à crier et à rugir, mais continuait à résister, (…) il a continué à émettre des sons de grognement et de gémissements et a continué à résister physiquement et agressivement ». Corps animalisé, immobilisé mais hurlant, sauvage, puissant : la cour reprend à son compte ces poncifs négrophobes »</w:t>
            </w:r>
            <w:r w:rsidR="00635E2D">
              <w:rPr>
                <w:rStyle w:val="Appelnotedebasdep"/>
                <w:rFonts w:ascii="Times" w:hAnsi="Times" w:cs="Arial"/>
                <w:color w:val="202124"/>
                <w:sz w:val="24"/>
                <w:szCs w:val="24"/>
                <w:shd w:val="clear" w:color="auto" w:fill="FFFFFF"/>
              </w:rPr>
              <w:footnoteReference w:id="21"/>
            </w:r>
            <w:r w:rsidRPr="006159BE">
              <w:rPr>
                <w:rFonts w:ascii="Times" w:hAnsi="Times" w:cs="Arial"/>
                <w:color w:val="202124"/>
                <w:sz w:val="24"/>
                <w:szCs w:val="24"/>
                <w:shd w:val="clear" w:color="auto" w:fill="FFFFFF"/>
              </w:rPr>
              <w:t xml:space="preserve">. La justice, après une année de procédures, a finalement considéré qu’il n’y avait pas de charges suffisantes pour condamner les huit policiers responsables de la mort de Lamine et a prononcé un non-lieu. On va plus loin encore dans le manque de considération pour Lamine lorsque l’on apprend que les parties civiles ont été condamnées à payer des dommages aux policiers. La famille de Lamine a dû batailler pour récupérer son corps et c’est seulement après trois ans et sept mois de procédures et plus de 30 000 euros à débourser que le corps de leur fils leur a finalement été restitué. </w:t>
            </w:r>
          </w:p>
          <w:p w14:paraId="20E40BA4" w14:textId="77777777" w:rsidR="0038353E" w:rsidRPr="006159BE" w:rsidRDefault="0038353E" w:rsidP="0038353E">
            <w:pPr>
              <w:spacing w:line="360" w:lineRule="auto"/>
              <w:jc w:val="both"/>
              <w:rPr>
                <w:rFonts w:ascii="Times" w:hAnsi="Times"/>
                <w:b/>
                <w:bCs/>
                <w:sz w:val="24"/>
                <w:szCs w:val="24"/>
              </w:rPr>
            </w:pPr>
            <w:r w:rsidRPr="006159BE">
              <w:rPr>
                <w:rFonts w:ascii="Times" w:hAnsi="Times"/>
                <w:b/>
                <w:bCs/>
                <w:sz w:val="24"/>
                <w:szCs w:val="24"/>
              </w:rPr>
              <w:t>Adil</w:t>
            </w:r>
          </w:p>
          <w:p w14:paraId="679F5749" w14:textId="77777777" w:rsidR="0038353E" w:rsidRPr="006159BE" w:rsidRDefault="0038353E" w:rsidP="0038353E">
            <w:pPr>
              <w:spacing w:line="360" w:lineRule="auto"/>
              <w:jc w:val="both"/>
              <w:rPr>
                <w:rFonts w:ascii="Times" w:hAnsi="Times" w:cs="Arial"/>
                <w:sz w:val="24"/>
                <w:szCs w:val="24"/>
                <w:bdr w:val="none" w:sz="0" w:space="0" w:color="auto" w:frame="1"/>
              </w:rPr>
            </w:pPr>
            <w:r w:rsidRPr="006159BE">
              <w:rPr>
                <w:rFonts w:ascii="Times" w:hAnsi="Times" w:cs="Arial"/>
                <w:sz w:val="24"/>
                <w:szCs w:val="24"/>
                <w:bdr w:val="none" w:sz="0" w:space="0" w:color="auto" w:frame="1"/>
              </w:rPr>
              <w:t xml:space="preserve">Durant le confinement en avril 2020, deux incidents marquants ont eu lieu le même week-end, mais dans deux quartiers bien distincts de Bruxelles. </w:t>
            </w:r>
            <w:r w:rsidRPr="008527BE">
              <w:rPr>
                <w:rFonts w:ascii="Times" w:hAnsi="Times" w:cs="Arial"/>
                <w:sz w:val="24"/>
                <w:szCs w:val="24"/>
                <w:bdr w:val="none" w:sz="0" w:space="0" w:color="auto" w:frame="1"/>
              </w:rPr>
              <w:t xml:space="preserve">D’une part, le vendredi soir, à Anderlecht, un jeune homme de 19 ans prénommé Adil est décédé après avoir été percuté </w:t>
            </w:r>
            <w:r w:rsidRPr="006159BE">
              <w:rPr>
                <w:rFonts w:ascii="Times" w:hAnsi="Times" w:cs="Arial"/>
                <w:sz w:val="24"/>
                <w:szCs w:val="24"/>
                <w:bdr w:val="none" w:sz="0" w:space="0" w:color="auto" w:frame="1"/>
              </w:rPr>
              <w:t xml:space="preserve">volontairement </w:t>
            </w:r>
            <w:r w:rsidRPr="008527BE">
              <w:rPr>
                <w:rFonts w:ascii="Times" w:hAnsi="Times" w:cs="Arial"/>
                <w:sz w:val="24"/>
                <w:szCs w:val="24"/>
                <w:bdr w:val="none" w:sz="0" w:space="0" w:color="auto" w:frame="1"/>
              </w:rPr>
              <w:t>par un véhicule de police</w:t>
            </w:r>
            <w:r w:rsidRPr="006159BE">
              <w:rPr>
                <w:rFonts w:ascii="Times" w:hAnsi="Times" w:cs="Arial"/>
                <w:sz w:val="24"/>
                <w:szCs w:val="24"/>
                <w:bdr w:val="none" w:sz="0" w:space="0" w:color="auto" w:frame="1"/>
              </w:rPr>
              <w:t xml:space="preserve"> alors qu’il fuyait</w:t>
            </w:r>
            <w:r w:rsidRPr="008527BE">
              <w:rPr>
                <w:rFonts w:ascii="Times" w:hAnsi="Times" w:cs="Arial"/>
                <w:sz w:val="24"/>
                <w:szCs w:val="24"/>
                <w:bdr w:val="none" w:sz="0" w:space="0" w:color="auto" w:frame="1"/>
              </w:rPr>
              <w:t xml:space="preserve"> un contrôle. D’autre part, le</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samedi soir, des habitants de la commune huppée de  Woluwe-Saint-Lambert  ont  été  observés  en  pleine  rue  dansant  avec  des  policiers  sans respecter les mesures de distanciation sociale pourtant imposées</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 xml:space="preserve">par le Gouvernement fédéral </w:t>
            </w:r>
            <w:r w:rsidRPr="006159BE">
              <w:rPr>
                <w:rFonts w:ascii="Times" w:hAnsi="Times" w:cs="Arial"/>
                <w:sz w:val="24"/>
                <w:szCs w:val="24"/>
                <w:bdr w:val="none" w:sz="0" w:space="0" w:color="auto" w:frame="1"/>
              </w:rPr>
              <w:t>afin de</w:t>
            </w:r>
            <w:r w:rsidRPr="008527BE">
              <w:rPr>
                <w:rFonts w:ascii="Times" w:hAnsi="Times" w:cs="Arial"/>
                <w:sz w:val="24"/>
                <w:szCs w:val="24"/>
                <w:bdr w:val="none" w:sz="0" w:space="0" w:color="auto" w:frame="1"/>
              </w:rPr>
              <w:t xml:space="preserve">  lutter  contre  la  propagation  du Coronavirus.  Cela  pose  énormément  question</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et  c’est précisément avec ce type</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de paradoxe que les termes «traitement différencié»</w:t>
            </w:r>
            <w:r w:rsidRPr="006159BE">
              <w:rPr>
                <w:rFonts w:ascii="Times" w:hAnsi="Times" w:cs="Arial"/>
                <w:sz w:val="24"/>
                <w:szCs w:val="24"/>
                <w:bdr w:val="none" w:sz="0" w:space="0" w:color="auto" w:frame="1"/>
              </w:rPr>
              <w:t xml:space="preserve"> des populations </w:t>
            </w:r>
            <w:r w:rsidRPr="008527BE">
              <w:rPr>
                <w:rFonts w:ascii="Times" w:hAnsi="Times" w:cs="Arial"/>
                <w:sz w:val="24"/>
                <w:szCs w:val="24"/>
                <w:bdr w:val="none" w:sz="0" w:space="0" w:color="auto" w:frame="1"/>
              </w:rPr>
              <w:t>prennent tout leur sens. Comment peut-on justifier la poursuite d’un jeune en scooter en pleine nuit pour non-respect  du  confinement  lorsque  dans  une  autre  commune  le  même  week-end,  la  police  est observée faisant la fête dans la rue avec des riverains</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La version policière</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concernant le drame survenu à Anderlecht</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 xml:space="preserve">veut que ce soit Adil qui se soit dirigé droit vers le véhicule de </w:t>
            </w:r>
            <w:r w:rsidRPr="008527BE">
              <w:rPr>
                <w:rFonts w:ascii="Times" w:hAnsi="Times" w:cs="Arial"/>
                <w:sz w:val="24"/>
                <w:szCs w:val="24"/>
                <w:bdr w:val="none" w:sz="0" w:space="0" w:color="auto" w:frame="1"/>
              </w:rPr>
              <w:lastRenderedPageBreak/>
              <w:t>police qui arrivait à contre-sens. Cependant, le constat</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 xml:space="preserve">d’un expert automobile prouve que </w:t>
            </w:r>
            <w:r w:rsidRPr="006159BE">
              <w:rPr>
                <w:rFonts w:ascii="Times" w:hAnsi="Times" w:cs="Arial"/>
                <w:sz w:val="24"/>
                <w:szCs w:val="24"/>
                <w:bdr w:val="none" w:sz="0" w:space="0" w:color="auto" w:frame="1"/>
              </w:rPr>
              <w:t>c</w:t>
            </w:r>
            <w:r w:rsidRPr="008527BE">
              <w:rPr>
                <w:rFonts w:ascii="Times" w:hAnsi="Times" w:cs="Arial"/>
                <w:sz w:val="24"/>
                <w:szCs w:val="24"/>
                <w:bdr w:val="none" w:sz="0" w:space="0" w:color="auto" w:frame="1"/>
              </w:rPr>
              <w:t>e sont bel et bien  les  policiers  qui  ont dévié  de  leur trajectoire  et  percuté  Adil  de  plein  fouet. Un  juge d’instruction  a été chargé</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par  le  parquet  de  Bruxelles d’enquêter  du</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chef  d’homicide involontaire sur la demande</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de la</w:t>
            </w:r>
            <w:r w:rsidRPr="006159BE">
              <w:rPr>
                <w:rFonts w:ascii="Times" w:hAnsi="Times" w:cs="Arial"/>
                <w:sz w:val="24"/>
                <w:szCs w:val="24"/>
                <w:bdr w:val="none" w:sz="0" w:space="0" w:color="auto" w:frame="1"/>
              </w:rPr>
              <w:t xml:space="preserve"> </w:t>
            </w:r>
            <w:r w:rsidRPr="008527BE">
              <w:rPr>
                <w:rFonts w:ascii="Times" w:hAnsi="Times" w:cs="Arial"/>
                <w:sz w:val="24"/>
                <w:szCs w:val="24"/>
                <w:bdr w:val="none" w:sz="0" w:space="0" w:color="auto" w:frame="1"/>
              </w:rPr>
              <w:t>Ligue des Droits de l’Homme</w:t>
            </w:r>
            <w:r w:rsidRPr="006159BE">
              <w:rPr>
                <w:rFonts w:ascii="Times" w:hAnsi="Times" w:cs="Arial"/>
                <w:sz w:val="24"/>
                <w:szCs w:val="24"/>
                <w:bdr w:val="none" w:sz="0" w:space="0" w:color="auto" w:frame="1"/>
              </w:rPr>
              <w:t xml:space="preserve">. </w:t>
            </w:r>
          </w:p>
          <w:p w14:paraId="66E47B03" w14:textId="73FC0A50" w:rsidR="0038353E" w:rsidRPr="006159BE" w:rsidRDefault="0038353E" w:rsidP="0038353E">
            <w:pPr>
              <w:spacing w:line="360" w:lineRule="auto"/>
              <w:jc w:val="both"/>
              <w:rPr>
                <w:rFonts w:ascii="Times" w:hAnsi="Times"/>
                <w:sz w:val="24"/>
                <w:szCs w:val="24"/>
              </w:rPr>
            </w:pPr>
            <w:r w:rsidRPr="005F617B">
              <w:rPr>
                <w:rFonts w:ascii="Times" w:hAnsi="Times" w:cs="Arial"/>
                <w:sz w:val="24"/>
                <w:szCs w:val="24"/>
                <w:bdr w:val="none" w:sz="0" w:space="0" w:color="auto" w:frame="1"/>
              </w:rPr>
              <w:t>La  pandémie  a  poussé  les  classes  moyennes  et  supérieures  à blâmer</w:t>
            </w:r>
            <w:r w:rsidRPr="006159BE">
              <w:rPr>
                <w:rFonts w:ascii="Times" w:hAnsi="Times" w:cs="Arial"/>
                <w:sz w:val="24"/>
                <w:szCs w:val="24"/>
                <w:bdr w:val="none" w:sz="0" w:space="0" w:color="auto" w:frame="1"/>
              </w:rPr>
              <w:t xml:space="preserve"> </w:t>
            </w:r>
            <w:r w:rsidRPr="005F617B">
              <w:rPr>
                <w:rFonts w:ascii="Times" w:hAnsi="Times" w:cs="Arial"/>
                <w:sz w:val="24"/>
                <w:szCs w:val="24"/>
                <w:bdr w:val="none" w:sz="0" w:space="0" w:color="auto" w:frame="1"/>
              </w:rPr>
              <w:t>les  quartiers populaires  de  ne  pas  respecter  le  confinement  et  de  faire  preuve  d’incivilités</w:t>
            </w:r>
            <w:r w:rsidRPr="006159BE">
              <w:rPr>
                <w:rFonts w:ascii="Times" w:hAnsi="Times" w:cs="Arial"/>
                <w:sz w:val="24"/>
                <w:szCs w:val="24"/>
                <w:bdr w:val="none" w:sz="0" w:space="0" w:color="auto" w:frame="1"/>
              </w:rPr>
              <w:t xml:space="preserve"> </w:t>
            </w:r>
            <w:r w:rsidRPr="005F617B">
              <w:rPr>
                <w:rFonts w:ascii="Times" w:hAnsi="Times" w:cs="Arial"/>
                <w:sz w:val="24"/>
                <w:szCs w:val="24"/>
                <w:bdr w:val="none" w:sz="0" w:space="0" w:color="auto" w:frame="1"/>
              </w:rPr>
              <w:t>alors  même qu’aucune  étude  n’était</w:t>
            </w:r>
            <w:r w:rsidRPr="006159BE">
              <w:rPr>
                <w:rFonts w:ascii="Times" w:hAnsi="Times" w:cs="Arial"/>
                <w:sz w:val="24"/>
                <w:szCs w:val="24"/>
                <w:bdr w:val="none" w:sz="0" w:space="0" w:color="auto" w:frame="1"/>
              </w:rPr>
              <w:t xml:space="preserve"> </w:t>
            </w:r>
            <w:r w:rsidRPr="005F617B">
              <w:rPr>
                <w:rFonts w:ascii="Times" w:hAnsi="Times" w:cs="Arial"/>
                <w:sz w:val="24"/>
                <w:szCs w:val="24"/>
                <w:bdr w:val="none" w:sz="0" w:space="0" w:color="auto" w:frame="1"/>
              </w:rPr>
              <w:t>en  mesure  de  prouver  que  le  confinement était</w:t>
            </w:r>
            <w:r w:rsidRPr="006159BE">
              <w:rPr>
                <w:rFonts w:ascii="Times" w:hAnsi="Times" w:cs="Arial"/>
                <w:sz w:val="24"/>
                <w:szCs w:val="24"/>
                <w:bdr w:val="none" w:sz="0" w:space="0" w:color="auto" w:frame="1"/>
              </w:rPr>
              <w:t xml:space="preserve"> </w:t>
            </w:r>
            <w:r w:rsidRPr="005F617B">
              <w:rPr>
                <w:rFonts w:ascii="Times" w:hAnsi="Times" w:cs="Arial"/>
                <w:sz w:val="24"/>
                <w:szCs w:val="24"/>
                <w:bdr w:val="none" w:sz="0" w:space="0" w:color="auto" w:frame="1"/>
              </w:rPr>
              <w:t>bel  et  bien  moins respecté dans ces dits quartiers. Selon Pierre Gilbert, les sociologues spécialisés dans la police estiment  que  les  statistiques  fournies  par  cette  institution ne sont pas les plus sûres lorsqu’il s’agit  de  prendre  la  mesure  des  infractions  factuellement  commises  par  la  population. Néanmoins,  elles  représenteraient  un  indicateur  fiable  de  l’activité  policière  (le  type d’infraction commise, le pan de la population sur lequel la police concentre ses moyens, etc.). Pierre Gilbert  entend par-là que même s’il y a une plus grande proportion de contrôles et de verbalisations au sein d’un quartier (ce qui a d’ailleurs poussé la Ligue des Droits de l’Homme à appeler au respect</w:t>
            </w:r>
            <w:r w:rsidRPr="006159BE">
              <w:rPr>
                <w:rFonts w:ascii="Times" w:hAnsi="Times" w:cs="Arial"/>
                <w:sz w:val="24"/>
                <w:szCs w:val="24"/>
                <w:bdr w:val="none" w:sz="0" w:space="0" w:color="auto" w:frame="1"/>
              </w:rPr>
              <w:t xml:space="preserve"> </w:t>
            </w:r>
            <w:r w:rsidRPr="005F617B">
              <w:rPr>
                <w:rFonts w:ascii="Times" w:hAnsi="Times" w:cs="Arial"/>
                <w:sz w:val="24"/>
                <w:szCs w:val="24"/>
                <w:bdr w:val="none" w:sz="0" w:space="0" w:color="auto" w:frame="1"/>
              </w:rPr>
              <w:t>de l’</w:t>
            </w:r>
            <w:proofErr w:type="spellStart"/>
            <w:r w:rsidRPr="005F617B">
              <w:rPr>
                <w:rFonts w:ascii="Times" w:hAnsi="Times" w:cs="Arial"/>
                <w:sz w:val="24"/>
                <w:szCs w:val="24"/>
                <w:bdr w:val="none" w:sz="0" w:space="0" w:color="auto" w:frame="1"/>
              </w:rPr>
              <w:t>Etat</w:t>
            </w:r>
            <w:proofErr w:type="spellEnd"/>
            <w:r w:rsidRPr="005F617B">
              <w:rPr>
                <w:rFonts w:ascii="Times" w:hAnsi="Times" w:cs="Arial"/>
                <w:sz w:val="24"/>
                <w:szCs w:val="24"/>
                <w:bdr w:val="none" w:sz="0" w:space="0" w:color="auto" w:frame="1"/>
              </w:rPr>
              <w:t xml:space="preserve"> de droit en matière de verbalisations/amendes) qui démontre une activité policière plus forte, cela n’est pas la preuve que le nombre d’infractions y a été plus élevé qu’ailleurs. Il explique que cela peut tout simplement être lié à un ciblage des contrôles. Les sociologues pointent en revanche deux impacts directement liés à la crise du COVID sur les  quartiers  populaires:  «le confinement y crée d’une part des inégalités spécifiques et de</w:t>
            </w:r>
            <w:r w:rsidRPr="006159BE">
              <w:rPr>
                <w:rFonts w:ascii="Times" w:hAnsi="Times" w:cs="Arial"/>
                <w:sz w:val="24"/>
                <w:szCs w:val="24"/>
                <w:bdr w:val="none" w:sz="0" w:space="0" w:color="auto" w:frame="1"/>
              </w:rPr>
              <w:t xml:space="preserve"> grandes  difficultés  pour  les  ménages  qui  y  résident;  d’autre  part,  en  raison  des  diverses inégalités qui les touchent –santé, logement, travail et transport –, les ménages et les quartiers populaires se trouvent particulièrement exposés au virus et risquent finalement de payer un très lourd tribut à la pandémie»</w:t>
            </w:r>
            <w:r w:rsidR="004718C5">
              <w:rPr>
                <w:rStyle w:val="Appelnotedebasdep"/>
                <w:rFonts w:ascii="Times" w:hAnsi="Times" w:cs="Arial"/>
                <w:sz w:val="24"/>
                <w:szCs w:val="24"/>
                <w:bdr w:val="none" w:sz="0" w:space="0" w:color="auto" w:frame="1"/>
              </w:rPr>
              <w:footnoteReference w:id="22"/>
            </w:r>
            <w:r w:rsidRPr="006159BE">
              <w:rPr>
                <w:rFonts w:ascii="Times" w:hAnsi="Times" w:cs="Arial"/>
                <w:sz w:val="24"/>
                <w:szCs w:val="24"/>
                <w:bdr w:val="none" w:sz="0" w:space="0" w:color="auto" w:frame="1"/>
              </w:rPr>
              <w:t xml:space="preserve">. En ce qui concerne les contrôles, comme en France durant les confinements et plus largement pendant la pandémie, des hélicoptères de la police survolaient les quartiers populaires de Bruxelles de façon préventive et pour exercer sur eux une forme de contrôle et de surveillance. Comme si, par principe, les personnes issues de ces quartiers étaient plus susceptibles de ne pas respecter les mesures mises en place par le gouvernement. Les mouvements des hélicoptères ne laissaient place à aucun doute possible : ils passaient </w:t>
            </w:r>
            <w:r w:rsidRPr="006159BE">
              <w:rPr>
                <w:rFonts w:ascii="Times" w:hAnsi="Times" w:cs="Arial"/>
                <w:sz w:val="24"/>
                <w:szCs w:val="24"/>
                <w:bdr w:val="none" w:sz="0" w:space="0" w:color="auto" w:frame="1"/>
              </w:rPr>
              <w:lastRenderedPageBreak/>
              <w:t xml:space="preserve">beaucoup plus de temps à survoler les communes de Molenbeek et d’Anderlecht que toute autre commune de la capitale. </w:t>
            </w:r>
          </w:p>
          <w:p w14:paraId="271E9883" w14:textId="73F63441"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Les victimes de la police et des appareils politique et judiciaire ainsi que les dysfonctionnements de ces différentes entités dont j’ai décidé de parler sont loin de représenter de façon exhaustive toutes les exactions commises envers les personnes sans-papiers et les descendants de l’immigration. C’est un choix personnel qui a été dirigé par mes sensibilités et les informations dont je disposais. </w:t>
            </w:r>
          </w:p>
          <w:p w14:paraId="5BCDA0FF" w14:textId="3F3ADBCD" w:rsidR="0038353E" w:rsidRDefault="00B90F01" w:rsidP="00B90F01">
            <w:pPr>
              <w:pStyle w:val="Titre1"/>
              <w:outlineLvl w:val="0"/>
            </w:pPr>
            <w:bookmarkStart w:id="10" w:name="_Toc111585344"/>
            <w:bookmarkStart w:id="11" w:name="_Toc111586376"/>
            <w:r>
              <w:t>L</w:t>
            </w:r>
            <w:r w:rsidRPr="006159BE">
              <w:t xml:space="preserve">a </w:t>
            </w:r>
            <w:proofErr w:type="spellStart"/>
            <w:r w:rsidRPr="006159BE">
              <w:t>nécropolitique</w:t>
            </w:r>
            <w:proofErr w:type="spellEnd"/>
            <w:r w:rsidRPr="006159BE">
              <w:t>, bel et bien enracinée dans les institutions belges ?</w:t>
            </w:r>
            <w:bookmarkEnd w:id="10"/>
            <w:bookmarkEnd w:id="11"/>
          </w:p>
          <w:p w14:paraId="500F1EFD" w14:textId="58F3379C" w:rsidR="004718C5" w:rsidRPr="004718C5" w:rsidRDefault="004718C5" w:rsidP="004718C5">
            <w:pPr>
              <w:pStyle w:val="Titre1"/>
              <w:outlineLvl w:val="0"/>
            </w:pPr>
            <w:r>
              <w:t>Conclusion</w:t>
            </w:r>
          </w:p>
          <w:p w14:paraId="1AB5406E" w14:textId="77777777" w:rsidR="00B90F01" w:rsidRPr="00B90F01" w:rsidRDefault="00B90F01" w:rsidP="00B90F01"/>
          <w:p w14:paraId="5536E323" w14:textId="3675694B" w:rsidR="0038353E" w:rsidRPr="006159BE" w:rsidRDefault="0038353E" w:rsidP="0038353E">
            <w:pPr>
              <w:spacing w:line="360" w:lineRule="auto"/>
              <w:jc w:val="both"/>
              <w:rPr>
                <w:rFonts w:ascii="Times" w:hAnsi="Times"/>
                <w:sz w:val="24"/>
                <w:szCs w:val="24"/>
              </w:rPr>
            </w:pPr>
            <w:r w:rsidRPr="006159BE">
              <w:rPr>
                <w:rFonts w:ascii="Times" w:hAnsi="Times"/>
                <w:sz w:val="24"/>
                <w:szCs w:val="24"/>
              </w:rPr>
              <w:t xml:space="preserve">Si l’on reprend les éléments constitutifs de la </w:t>
            </w:r>
            <w:proofErr w:type="spellStart"/>
            <w:r w:rsidRPr="006159BE">
              <w:rPr>
                <w:rFonts w:ascii="Times" w:hAnsi="Times"/>
                <w:sz w:val="24"/>
                <w:szCs w:val="24"/>
              </w:rPr>
              <w:t>nécropolitique</w:t>
            </w:r>
            <w:proofErr w:type="spellEnd"/>
            <w:r w:rsidRPr="006159BE">
              <w:rPr>
                <w:rFonts w:ascii="Times" w:hAnsi="Times"/>
                <w:sz w:val="24"/>
                <w:szCs w:val="24"/>
              </w:rPr>
              <w:t xml:space="preserve"> de </w:t>
            </w:r>
            <w:proofErr w:type="spellStart"/>
            <w:r w:rsidRPr="006159BE">
              <w:rPr>
                <w:rFonts w:ascii="Times" w:hAnsi="Times"/>
                <w:sz w:val="24"/>
                <w:szCs w:val="24"/>
              </w:rPr>
              <w:t>Mbembe</w:t>
            </w:r>
            <w:proofErr w:type="spellEnd"/>
            <w:r w:rsidRPr="006159BE">
              <w:rPr>
                <w:rFonts w:ascii="Times" w:hAnsi="Times"/>
                <w:sz w:val="24"/>
                <w:szCs w:val="24"/>
              </w:rPr>
              <w:t xml:space="preserve">, nul doute que nos institutions policière, juridique et politique sont bien empreintes de ses caractéristiques. La subdivision des citoyens en différentes catégories, reléguant certains au rang de populations agressives, potentiellement dangereuses et dont la vie ne compte pas se retrouvent à la fois dans nos articles de loi, où il est question de protéger le peuple des agissements des étrangers (considérés donc de prime abord comme dangereux), bien évidemment dans la police, où les techniques d’interpellation illégales et les agressions et meurtres à caractère raciste vont bon train et enfin dans notre système judiciaire, qui tente par tous les moyens de protéger la police, quitte à totalement inverser les responsabilités dans le cadre des crimes policiers. Dans un système ancré dans la </w:t>
            </w:r>
            <w:proofErr w:type="spellStart"/>
            <w:r w:rsidRPr="006159BE">
              <w:rPr>
                <w:rFonts w:ascii="Times" w:hAnsi="Times"/>
                <w:sz w:val="24"/>
                <w:szCs w:val="24"/>
              </w:rPr>
              <w:t>nécropolitique</w:t>
            </w:r>
            <w:proofErr w:type="spellEnd"/>
            <w:r w:rsidRPr="006159BE">
              <w:rPr>
                <w:rFonts w:ascii="Times" w:hAnsi="Times"/>
                <w:sz w:val="24"/>
                <w:szCs w:val="24"/>
              </w:rPr>
              <w:t xml:space="preserve">, </w:t>
            </w:r>
            <w:proofErr w:type="spellStart"/>
            <w:r w:rsidRPr="006159BE">
              <w:rPr>
                <w:rFonts w:ascii="Times" w:hAnsi="Times"/>
                <w:sz w:val="24"/>
                <w:szCs w:val="24"/>
              </w:rPr>
              <w:t>Semira</w:t>
            </w:r>
            <w:proofErr w:type="spellEnd"/>
            <w:r w:rsidRPr="006159BE">
              <w:rPr>
                <w:rFonts w:ascii="Times" w:hAnsi="Times"/>
                <w:sz w:val="24"/>
                <w:szCs w:val="24"/>
              </w:rPr>
              <w:t xml:space="preserve">, </w:t>
            </w:r>
            <w:proofErr w:type="spellStart"/>
            <w:r w:rsidRPr="006159BE">
              <w:rPr>
                <w:rFonts w:ascii="Times" w:hAnsi="Times"/>
                <w:sz w:val="24"/>
                <w:szCs w:val="24"/>
              </w:rPr>
              <w:t>Mawda</w:t>
            </w:r>
            <w:proofErr w:type="spellEnd"/>
            <w:r w:rsidRPr="006159BE">
              <w:rPr>
                <w:rFonts w:ascii="Times" w:hAnsi="Times"/>
                <w:sz w:val="24"/>
                <w:szCs w:val="24"/>
              </w:rPr>
              <w:t>, Lamine, Mohamed Amine, Adil et les autres personnes issues de l’immigration peuvent mourir et c’est l’</w:t>
            </w:r>
            <w:proofErr w:type="spellStart"/>
            <w:r w:rsidRPr="006159BE">
              <w:rPr>
                <w:rFonts w:ascii="Times" w:hAnsi="Times"/>
                <w:sz w:val="24"/>
                <w:szCs w:val="24"/>
              </w:rPr>
              <w:t>Etat</w:t>
            </w:r>
            <w:proofErr w:type="spellEnd"/>
            <w:r w:rsidRPr="006159BE">
              <w:rPr>
                <w:rFonts w:ascii="Times" w:hAnsi="Times"/>
                <w:sz w:val="24"/>
                <w:szCs w:val="24"/>
              </w:rPr>
              <w:t xml:space="preserve"> belge qui en porte la responsabilité. </w:t>
            </w:r>
          </w:p>
          <w:p w14:paraId="6CA8F899" w14:textId="300F49E1" w:rsidR="0038353E" w:rsidRDefault="0038353E" w:rsidP="0038353E">
            <w:pPr>
              <w:spacing w:line="360" w:lineRule="auto"/>
              <w:jc w:val="both"/>
              <w:rPr>
                <w:rFonts w:ascii="Times" w:hAnsi="Times"/>
                <w:sz w:val="24"/>
                <w:szCs w:val="24"/>
              </w:rPr>
            </w:pPr>
          </w:p>
          <w:p w14:paraId="55921A19" w14:textId="6100175C" w:rsidR="004718C5" w:rsidRDefault="004718C5" w:rsidP="0038353E">
            <w:pPr>
              <w:spacing w:line="360" w:lineRule="auto"/>
              <w:jc w:val="both"/>
              <w:rPr>
                <w:rFonts w:ascii="Times" w:hAnsi="Times"/>
                <w:sz w:val="24"/>
                <w:szCs w:val="24"/>
              </w:rPr>
            </w:pPr>
          </w:p>
          <w:p w14:paraId="5B8CFBF0" w14:textId="4AAA0605" w:rsidR="004718C5" w:rsidRDefault="004718C5" w:rsidP="0038353E">
            <w:pPr>
              <w:spacing w:line="360" w:lineRule="auto"/>
              <w:jc w:val="both"/>
              <w:rPr>
                <w:rFonts w:ascii="Times" w:hAnsi="Times"/>
                <w:sz w:val="24"/>
                <w:szCs w:val="24"/>
              </w:rPr>
            </w:pPr>
          </w:p>
          <w:p w14:paraId="77B5D3DE" w14:textId="158DD4A0" w:rsidR="004718C5" w:rsidRDefault="004718C5" w:rsidP="0038353E">
            <w:pPr>
              <w:spacing w:line="360" w:lineRule="auto"/>
              <w:jc w:val="both"/>
              <w:rPr>
                <w:rFonts w:ascii="Times" w:hAnsi="Times"/>
                <w:sz w:val="24"/>
                <w:szCs w:val="24"/>
              </w:rPr>
            </w:pPr>
          </w:p>
          <w:p w14:paraId="7D22C408" w14:textId="39C752CE" w:rsidR="004718C5" w:rsidRDefault="004718C5" w:rsidP="0038353E">
            <w:pPr>
              <w:spacing w:line="360" w:lineRule="auto"/>
              <w:jc w:val="both"/>
              <w:rPr>
                <w:rFonts w:ascii="Times" w:hAnsi="Times"/>
                <w:sz w:val="24"/>
                <w:szCs w:val="24"/>
              </w:rPr>
            </w:pPr>
          </w:p>
          <w:p w14:paraId="2EC071E4" w14:textId="27DE157E" w:rsidR="004718C5" w:rsidRDefault="004718C5" w:rsidP="0038353E">
            <w:pPr>
              <w:spacing w:line="360" w:lineRule="auto"/>
              <w:jc w:val="both"/>
              <w:rPr>
                <w:rFonts w:ascii="Times" w:hAnsi="Times"/>
                <w:sz w:val="24"/>
                <w:szCs w:val="24"/>
              </w:rPr>
            </w:pPr>
          </w:p>
          <w:p w14:paraId="0DEB3833" w14:textId="13D7C390" w:rsidR="004718C5" w:rsidRDefault="004718C5" w:rsidP="0038353E">
            <w:pPr>
              <w:spacing w:line="360" w:lineRule="auto"/>
              <w:jc w:val="both"/>
              <w:rPr>
                <w:rFonts w:ascii="Times" w:hAnsi="Times"/>
                <w:sz w:val="24"/>
                <w:szCs w:val="24"/>
              </w:rPr>
            </w:pPr>
          </w:p>
          <w:p w14:paraId="57762648" w14:textId="77777777" w:rsidR="004718C5" w:rsidRDefault="004718C5" w:rsidP="0038353E">
            <w:pPr>
              <w:spacing w:line="360" w:lineRule="auto"/>
              <w:jc w:val="both"/>
              <w:rPr>
                <w:rFonts w:ascii="Times" w:hAnsi="Times"/>
                <w:sz w:val="24"/>
                <w:szCs w:val="24"/>
              </w:rPr>
            </w:pPr>
          </w:p>
          <w:p w14:paraId="7F04BB48" w14:textId="77777777" w:rsidR="00B90F01" w:rsidRPr="006159BE" w:rsidRDefault="00B90F01" w:rsidP="0038353E">
            <w:pPr>
              <w:spacing w:line="360" w:lineRule="auto"/>
              <w:jc w:val="both"/>
              <w:rPr>
                <w:rFonts w:ascii="Times" w:hAnsi="Times"/>
                <w:sz w:val="24"/>
                <w:szCs w:val="24"/>
              </w:rPr>
            </w:pPr>
          </w:p>
          <w:p w14:paraId="2955F8C0" w14:textId="6AA7701F" w:rsidR="0038353E" w:rsidRDefault="00B90F01" w:rsidP="00B90F01">
            <w:pPr>
              <w:pStyle w:val="Titre1"/>
              <w:outlineLvl w:val="0"/>
            </w:pPr>
            <w:bookmarkStart w:id="12" w:name="_Toc111585346"/>
            <w:bookmarkStart w:id="13" w:name="_Toc111586378"/>
            <w:r>
              <w:lastRenderedPageBreak/>
              <w:t>B</w:t>
            </w:r>
            <w:r w:rsidRPr="006159BE">
              <w:t>ibliographie</w:t>
            </w:r>
            <w:bookmarkEnd w:id="12"/>
            <w:bookmarkEnd w:id="13"/>
          </w:p>
          <w:p w14:paraId="3485388B" w14:textId="77777777" w:rsidR="004718C5" w:rsidRPr="004718C5" w:rsidRDefault="004718C5" w:rsidP="004718C5"/>
          <w:p w14:paraId="62349844"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Ouvrages :</w:t>
            </w:r>
          </w:p>
          <w:p w14:paraId="16C26397"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Dorlin</w:t>
            </w:r>
            <w:proofErr w:type="spellEnd"/>
            <w:r w:rsidRPr="006159BE">
              <w:rPr>
                <w:color w:val="000000"/>
              </w:rPr>
              <w:t>, E. (2019).</w:t>
            </w:r>
            <w:r w:rsidRPr="006159BE">
              <w:rPr>
                <w:rStyle w:val="apple-converted-space"/>
                <w:color w:val="000000"/>
              </w:rPr>
              <w:t> </w:t>
            </w:r>
            <w:r w:rsidRPr="006159BE">
              <w:rPr>
                <w:i/>
                <w:iCs/>
                <w:color w:val="000000"/>
              </w:rPr>
              <w:t>Se défendre (French Edition)</w:t>
            </w:r>
            <w:r w:rsidRPr="006159BE">
              <w:rPr>
                <w:color w:val="000000"/>
              </w:rPr>
              <w:t>. La Découverte.</w:t>
            </w:r>
          </w:p>
          <w:p w14:paraId="3A734723" w14:textId="77777777" w:rsidR="0038353E" w:rsidRPr="006159BE" w:rsidRDefault="0038353E" w:rsidP="0038353E">
            <w:pPr>
              <w:pStyle w:val="NormalWeb"/>
              <w:spacing w:before="0" w:beforeAutospacing="0" w:after="0" w:afterAutospacing="0" w:line="360" w:lineRule="auto"/>
              <w:ind w:left="720"/>
              <w:jc w:val="both"/>
              <w:rPr>
                <w:color w:val="000000"/>
              </w:rPr>
            </w:pPr>
          </w:p>
          <w:p w14:paraId="737CD4CA" w14:textId="77777777" w:rsidR="0038353E" w:rsidRPr="006159BE" w:rsidRDefault="0038353E" w:rsidP="0038353E">
            <w:pPr>
              <w:pStyle w:val="NormalWeb"/>
              <w:spacing w:before="0" w:beforeAutospacing="0" w:after="0" w:afterAutospacing="0" w:line="360" w:lineRule="auto"/>
              <w:jc w:val="both"/>
              <w:rPr>
                <w:color w:val="000000"/>
              </w:rPr>
            </w:pPr>
            <w:r w:rsidRPr="006159BE">
              <w:rPr>
                <w:color w:val="000000"/>
              </w:rPr>
              <w:t>Articles scientifiques :</w:t>
            </w:r>
          </w:p>
          <w:p w14:paraId="16FC49BD"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Jamar</w:t>
            </w:r>
            <w:proofErr w:type="spellEnd"/>
            <w:r w:rsidRPr="006159BE">
              <w:rPr>
                <w:color w:val="000000"/>
              </w:rPr>
              <w:t>, D. (2021, 14 octobre).</w:t>
            </w:r>
            <w:r w:rsidRPr="006159BE">
              <w:rPr>
                <w:rStyle w:val="apple-converted-space"/>
                <w:color w:val="000000"/>
              </w:rPr>
              <w:t> </w:t>
            </w:r>
            <w:r w:rsidRPr="006159BE">
              <w:rPr>
                <w:i/>
                <w:iCs/>
                <w:color w:val="000000"/>
              </w:rPr>
              <w:t>Moïse Lamine Bangoura : Innocence raciale et négrophobie judiciaire.</w:t>
            </w:r>
            <w:r w:rsidRPr="006159BE">
              <w:rPr>
                <w:rStyle w:val="apple-converted-space"/>
                <w:color w:val="000000"/>
              </w:rPr>
              <w:t> </w:t>
            </w:r>
            <w:r w:rsidRPr="006159BE">
              <w:rPr>
                <w:color w:val="000000"/>
              </w:rPr>
              <w:t>Centre de formation pour le développement et la solidarité internationale. http://www.iteco.be/revue-antipodes/de-la-decolonisation-prelude/article/moise-lamine-bangoura-innocence-raciale-et-negrophobie-judiciaire</w:t>
            </w:r>
          </w:p>
          <w:p w14:paraId="67A590FA" w14:textId="77777777" w:rsidR="0038353E" w:rsidRPr="006159BE" w:rsidRDefault="0038353E" w:rsidP="0038353E">
            <w:pPr>
              <w:pStyle w:val="Paragraphedeliste"/>
              <w:numPr>
                <w:ilvl w:val="0"/>
                <w:numId w:val="6"/>
              </w:numPr>
              <w:spacing w:before="0" w:beforeAutospacing="0" w:after="0" w:afterAutospacing="0" w:line="360" w:lineRule="auto"/>
              <w:jc w:val="both"/>
            </w:pPr>
            <w:proofErr w:type="spellStart"/>
            <w:r w:rsidRPr="006159BE">
              <w:rPr>
                <w:color w:val="323232"/>
              </w:rPr>
              <w:t>Slaouti</w:t>
            </w:r>
            <w:proofErr w:type="spellEnd"/>
            <w:r w:rsidRPr="006159BE">
              <w:rPr>
                <w:color w:val="323232"/>
                <w:shd w:val="clear" w:color="auto" w:fill="FFFFFF"/>
              </w:rPr>
              <w:t>, O. &amp; </w:t>
            </w:r>
            <w:r w:rsidRPr="006159BE">
              <w:rPr>
                <w:color w:val="323232"/>
              </w:rPr>
              <w:t>Jobard</w:t>
            </w:r>
            <w:r w:rsidRPr="006159BE">
              <w:rPr>
                <w:color w:val="323232"/>
                <w:shd w:val="clear" w:color="auto" w:fill="FFFFFF"/>
              </w:rPr>
              <w:t xml:space="preserve">, F. (2020). Police, justice, État : discriminations raciales. Dans : Omar </w:t>
            </w:r>
            <w:proofErr w:type="spellStart"/>
            <w:r w:rsidRPr="006159BE">
              <w:rPr>
                <w:color w:val="323232"/>
                <w:shd w:val="clear" w:color="auto" w:fill="FFFFFF"/>
              </w:rPr>
              <w:t>Slaouti</w:t>
            </w:r>
            <w:proofErr w:type="spellEnd"/>
            <w:r w:rsidRPr="006159BE">
              <w:rPr>
                <w:color w:val="323232"/>
                <w:shd w:val="clear" w:color="auto" w:fill="FFFFFF"/>
              </w:rPr>
              <w:t xml:space="preserve"> éd., </w:t>
            </w:r>
            <w:r w:rsidRPr="006159BE">
              <w:rPr>
                <w:i/>
                <w:iCs/>
                <w:color w:val="323232"/>
              </w:rPr>
              <w:t>Racismes de France</w:t>
            </w:r>
            <w:r w:rsidRPr="006159BE">
              <w:rPr>
                <w:color w:val="323232"/>
                <w:shd w:val="clear" w:color="auto" w:fill="FFFFFF"/>
              </w:rPr>
              <w:t> (pp. 41-58). Paris: La Découverte. </w:t>
            </w:r>
            <w:hyperlink r:id="rId11" w:history="1">
              <w:r w:rsidRPr="006159BE">
                <w:rPr>
                  <w:color w:val="0000FF"/>
                  <w:u w:val="single"/>
                </w:rPr>
                <w:t>https://doi.org/10.3917/dec.slaou.2020.01.0041</w:t>
              </w:r>
            </w:hyperlink>
          </w:p>
          <w:p w14:paraId="55B7C54C" w14:textId="77777777" w:rsidR="0038353E" w:rsidRPr="006159BE" w:rsidRDefault="0038353E" w:rsidP="0038353E">
            <w:pPr>
              <w:pStyle w:val="Paragraphedeliste"/>
              <w:numPr>
                <w:ilvl w:val="0"/>
                <w:numId w:val="6"/>
              </w:numPr>
              <w:spacing w:before="0" w:beforeAutospacing="0" w:after="0" w:afterAutospacing="0" w:line="360" w:lineRule="auto"/>
              <w:jc w:val="both"/>
            </w:pPr>
            <w:r w:rsidRPr="006159BE">
              <w:rPr>
                <w:color w:val="323232"/>
              </w:rPr>
              <w:t>Jobard</w:t>
            </w:r>
            <w:r w:rsidRPr="006159BE">
              <w:rPr>
                <w:color w:val="323232"/>
                <w:shd w:val="clear" w:color="auto" w:fill="FFFFFF"/>
              </w:rPr>
              <w:t xml:space="preserve">, F. (2006). 11. Police, justice et discriminations raciales. Dans : Éric </w:t>
            </w:r>
            <w:proofErr w:type="spellStart"/>
            <w:r w:rsidRPr="006159BE">
              <w:rPr>
                <w:color w:val="323232"/>
                <w:shd w:val="clear" w:color="auto" w:fill="FFFFFF"/>
              </w:rPr>
              <w:t>Fassin</w:t>
            </w:r>
            <w:proofErr w:type="spellEnd"/>
            <w:r w:rsidRPr="006159BE">
              <w:rPr>
                <w:color w:val="323232"/>
                <w:shd w:val="clear" w:color="auto" w:fill="FFFFFF"/>
              </w:rPr>
              <w:t xml:space="preserve"> éd., </w:t>
            </w:r>
            <w:r w:rsidRPr="006159BE">
              <w:rPr>
                <w:i/>
                <w:iCs/>
                <w:color w:val="323232"/>
              </w:rPr>
              <w:t>De la question sociale à la question raciale: Représenter la société française</w:t>
            </w:r>
            <w:r w:rsidRPr="006159BE">
              <w:rPr>
                <w:color w:val="323232"/>
                <w:shd w:val="clear" w:color="auto" w:fill="FFFFFF"/>
              </w:rPr>
              <w:t> (pp. 211-229). Paris: La Découverte. </w:t>
            </w:r>
            <w:hyperlink r:id="rId12" w:history="1">
              <w:r w:rsidRPr="006159BE">
                <w:rPr>
                  <w:color w:val="0000FF"/>
                  <w:u w:val="single"/>
                </w:rPr>
                <w:t>https://doi.org/10.3917/dec.fassi.2006.02.0211</w:t>
              </w:r>
            </w:hyperlink>
          </w:p>
          <w:p w14:paraId="0618E5D4" w14:textId="77777777" w:rsidR="0038353E" w:rsidRPr="006159BE" w:rsidRDefault="0038353E" w:rsidP="0038353E">
            <w:pPr>
              <w:pStyle w:val="Paragraphedeliste"/>
              <w:numPr>
                <w:ilvl w:val="0"/>
                <w:numId w:val="6"/>
              </w:numPr>
              <w:spacing w:before="0" w:beforeAutospacing="0" w:after="0" w:afterAutospacing="0" w:line="360" w:lineRule="auto"/>
              <w:jc w:val="both"/>
            </w:pPr>
            <w:r w:rsidRPr="006159BE">
              <w:rPr>
                <w:color w:val="323232"/>
              </w:rPr>
              <w:t>Le Courant</w:t>
            </w:r>
            <w:r w:rsidRPr="006159BE">
              <w:rPr>
                <w:color w:val="323232"/>
                <w:shd w:val="clear" w:color="auto" w:fill="FFFFFF"/>
              </w:rPr>
              <w:t xml:space="preserve">, S. (2012). 19. L’intériorisation de la frontière sous menace d’expulsion. Le quotidien des étrangers en situation irrégulière. Dans : Didier </w:t>
            </w:r>
            <w:proofErr w:type="spellStart"/>
            <w:r w:rsidRPr="006159BE">
              <w:rPr>
                <w:color w:val="323232"/>
                <w:shd w:val="clear" w:color="auto" w:fill="FFFFFF"/>
              </w:rPr>
              <w:t>Fassin</w:t>
            </w:r>
            <w:proofErr w:type="spellEnd"/>
            <w:r w:rsidRPr="006159BE">
              <w:rPr>
                <w:color w:val="323232"/>
                <w:shd w:val="clear" w:color="auto" w:fill="FFFFFF"/>
              </w:rPr>
              <w:t xml:space="preserve"> éd., </w:t>
            </w:r>
            <w:r w:rsidRPr="006159BE">
              <w:rPr>
                <w:i/>
                <w:iCs/>
                <w:color w:val="323232"/>
              </w:rPr>
              <w:t>Les nouvelles frontières de la société française</w:t>
            </w:r>
            <w:r w:rsidRPr="006159BE">
              <w:rPr>
                <w:color w:val="323232"/>
                <w:shd w:val="clear" w:color="auto" w:fill="FFFFFF"/>
              </w:rPr>
              <w:t> (pp. 455-476). Paris: La Découverte. </w:t>
            </w:r>
            <w:hyperlink r:id="rId13" w:history="1">
              <w:r w:rsidRPr="006159BE">
                <w:rPr>
                  <w:color w:val="0000FF"/>
                  <w:u w:val="single"/>
                </w:rPr>
                <w:t>https://doi.org/10.3917/dec.fassi.2012.03.0455</w:t>
              </w:r>
            </w:hyperlink>
          </w:p>
          <w:p w14:paraId="0435BB1A" w14:textId="77777777" w:rsidR="0038353E" w:rsidRPr="006159BE" w:rsidRDefault="0038353E" w:rsidP="0038353E">
            <w:pPr>
              <w:pStyle w:val="Paragraphedeliste"/>
              <w:numPr>
                <w:ilvl w:val="0"/>
                <w:numId w:val="6"/>
              </w:numPr>
              <w:spacing w:before="0" w:beforeAutospacing="0" w:after="0" w:afterAutospacing="0" w:line="360" w:lineRule="auto"/>
              <w:jc w:val="both"/>
            </w:pPr>
            <w:proofErr w:type="spellStart"/>
            <w:r w:rsidRPr="006159BE">
              <w:rPr>
                <w:color w:val="323232"/>
              </w:rPr>
              <w:t>Leroij</w:t>
            </w:r>
            <w:proofErr w:type="spellEnd"/>
            <w:r w:rsidRPr="006159BE">
              <w:rPr>
                <w:color w:val="323232"/>
                <w:shd w:val="clear" w:color="auto" w:fill="FFFFFF"/>
              </w:rPr>
              <w:t>, C. (2018). Lutte contre le terrorisme et fabrique de populations indéfendables. </w:t>
            </w:r>
            <w:r w:rsidRPr="006159BE">
              <w:rPr>
                <w:i/>
                <w:iCs/>
                <w:color w:val="323232"/>
              </w:rPr>
              <w:t>La Revue Nouvelle</w:t>
            </w:r>
            <w:r w:rsidRPr="006159BE">
              <w:rPr>
                <w:color w:val="323232"/>
                <w:shd w:val="clear" w:color="auto" w:fill="FFFFFF"/>
              </w:rPr>
              <w:t>, 3, 31-39. </w:t>
            </w:r>
            <w:hyperlink r:id="rId14" w:history="1">
              <w:r w:rsidRPr="006159BE">
                <w:rPr>
                  <w:color w:val="0000FF"/>
                  <w:u w:val="single"/>
                </w:rPr>
                <w:t>https://doi.org/10.3917/rn.183.0031</w:t>
              </w:r>
            </w:hyperlink>
          </w:p>
          <w:p w14:paraId="1C579A0E" w14:textId="77777777" w:rsidR="0038353E" w:rsidRPr="006159BE" w:rsidRDefault="0038353E" w:rsidP="0038353E">
            <w:pPr>
              <w:pStyle w:val="Paragraphedeliste"/>
              <w:numPr>
                <w:ilvl w:val="0"/>
                <w:numId w:val="6"/>
              </w:numPr>
              <w:spacing w:before="0" w:beforeAutospacing="0" w:after="0" w:afterAutospacing="0" w:line="360" w:lineRule="auto"/>
              <w:jc w:val="both"/>
            </w:pPr>
            <w:proofErr w:type="spellStart"/>
            <w:r w:rsidRPr="006159BE">
              <w:rPr>
                <w:color w:val="323232"/>
              </w:rPr>
              <w:t>Khoojinian</w:t>
            </w:r>
            <w:proofErr w:type="spellEnd"/>
            <w:r w:rsidRPr="006159BE">
              <w:rPr>
                <w:color w:val="323232"/>
                <w:shd w:val="clear" w:color="auto" w:fill="FFFFFF"/>
              </w:rPr>
              <w:t>, M. (2016). La Police des Étrangers face à l’immigration de travail dans la Belgique des </w:t>
            </w:r>
            <w:r w:rsidRPr="006159BE">
              <w:rPr>
                <w:i/>
                <w:iCs/>
                <w:color w:val="323232"/>
              </w:rPr>
              <w:t>Golden Sixties</w:t>
            </w:r>
            <w:r w:rsidRPr="006159BE">
              <w:rPr>
                <w:color w:val="323232"/>
                <w:shd w:val="clear" w:color="auto" w:fill="FFFFFF"/>
              </w:rPr>
              <w:t> : gouvernementalité sécuritaire et gestion différentielle du séjour illégal (1962-1967). </w:t>
            </w:r>
            <w:r w:rsidRPr="006159BE">
              <w:rPr>
                <w:i/>
                <w:iCs/>
                <w:color w:val="323232"/>
              </w:rPr>
              <w:t xml:space="preserve">Cahiers Bruxellois – </w:t>
            </w:r>
            <w:proofErr w:type="spellStart"/>
            <w:r w:rsidRPr="006159BE">
              <w:rPr>
                <w:i/>
                <w:iCs/>
                <w:color w:val="323232"/>
              </w:rPr>
              <w:t>Brusselse</w:t>
            </w:r>
            <w:proofErr w:type="spellEnd"/>
            <w:r w:rsidRPr="006159BE">
              <w:rPr>
                <w:i/>
                <w:iCs/>
                <w:color w:val="323232"/>
              </w:rPr>
              <w:t xml:space="preserve"> Cahiers</w:t>
            </w:r>
            <w:r w:rsidRPr="006159BE">
              <w:rPr>
                <w:color w:val="323232"/>
                <w:shd w:val="clear" w:color="auto" w:fill="FFFFFF"/>
              </w:rPr>
              <w:t>, LVIII, 223-325. </w:t>
            </w:r>
            <w:hyperlink r:id="rId15" w:history="1">
              <w:r w:rsidRPr="006159BE">
                <w:rPr>
                  <w:color w:val="0000FF"/>
                  <w:u w:val="single"/>
                </w:rPr>
                <w:t>https://doi.org/10.3917/brux.048.0223</w:t>
              </w:r>
            </w:hyperlink>
          </w:p>
          <w:p w14:paraId="67BDDB1B" w14:textId="327D60CF" w:rsidR="0038353E" w:rsidRPr="004C3B8A" w:rsidRDefault="0038353E" w:rsidP="0038353E">
            <w:pPr>
              <w:pStyle w:val="Paragraphedeliste"/>
              <w:numPr>
                <w:ilvl w:val="0"/>
                <w:numId w:val="6"/>
              </w:numPr>
              <w:spacing w:before="0" w:beforeAutospacing="0" w:after="0" w:afterAutospacing="0" w:line="360" w:lineRule="auto"/>
              <w:jc w:val="both"/>
            </w:pPr>
            <w:proofErr w:type="spellStart"/>
            <w:r w:rsidRPr="006159BE">
              <w:rPr>
                <w:color w:val="323232"/>
              </w:rPr>
              <w:t>Mbembe</w:t>
            </w:r>
            <w:proofErr w:type="spellEnd"/>
            <w:r w:rsidRPr="006159BE">
              <w:rPr>
                <w:color w:val="323232"/>
                <w:shd w:val="clear" w:color="auto" w:fill="FFFFFF"/>
              </w:rPr>
              <w:t xml:space="preserve">, A. (2006). </w:t>
            </w:r>
            <w:proofErr w:type="spellStart"/>
            <w:r w:rsidRPr="006159BE">
              <w:rPr>
                <w:color w:val="323232"/>
                <w:shd w:val="clear" w:color="auto" w:fill="FFFFFF"/>
              </w:rPr>
              <w:t>Nécropolitique</w:t>
            </w:r>
            <w:proofErr w:type="spellEnd"/>
            <w:r w:rsidRPr="006159BE">
              <w:rPr>
                <w:color w:val="323232"/>
                <w:shd w:val="clear" w:color="auto" w:fill="FFFFFF"/>
              </w:rPr>
              <w:t>. </w:t>
            </w:r>
            <w:r w:rsidRPr="006159BE">
              <w:rPr>
                <w:i/>
                <w:iCs/>
                <w:color w:val="323232"/>
              </w:rPr>
              <w:t>Raisons politiques</w:t>
            </w:r>
            <w:r w:rsidRPr="006159BE">
              <w:rPr>
                <w:color w:val="323232"/>
                <w:shd w:val="clear" w:color="auto" w:fill="FFFFFF"/>
              </w:rPr>
              <w:t>, n</w:t>
            </w:r>
            <w:r w:rsidRPr="006159BE">
              <w:rPr>
                <w:color w:val="323232"/>
                <w:vertAlign w:val="superscript"/>
              </w:rPr>
              <w:t>o&lt;(sup&gt; 21), 29-60. </w:t>
            </w:r>
            <w:hyperlink r:id="rId16" w:history="1">
              <w:r w:rsidRPr="006159BE">
                <w:rPr>
                  <w:color w:val="0000FF"/>
                  <w:u w:val="single"/>
                  <w:vertAlign w:val="superscript"/>
                </w:rPr>
                <w:t>https://doi.org/10.3917/rai.021.0029</w:t>
              </w:r>
            </w:hyperlink>
          </w:p>
          <w:p w14:paraId="798B9AB5" w14:textId="03A7E0C6" w:rsidR="0038353E" w:rsidRDefault="004C3B8A" w:rsidP="004C3B8A">
            <w:pPr>
              <w:pStyle w:val="Paragraphedeliste"/>
              <w:numPr>
                <w:ilvl w:val="0"/>
                <w:numId w:val="6"/>
              </w:numPr>
              <w:spacing w:after="0"/>
            </w:pPr>
            <w:r w:rsidRPr="004C3B8A">
              <w:rPr>
                <w:rStyle w:val="uppercase"/>
                <w:color w:val="323232"/>
              </w:rPr>
              <w:t>Blaise</w:t>
            </w:r>
            <w:r w:rsidRPr="004C3B8A">
              <w:rPr>
                <w:color w:val="323232"/>
                <w:shd w:val="clear" w:color="auto" w:fill="FFFFFF"/>
              </w:rPr>
              <w:t>, P. &amp;</w:t>
            </w:r>
            <w:r w:rsidRPr="004C3B8A">
              <w:rPr>
                <w:rStyle w:val="apple-converted-space"/>
                <w:color w:val="323232"/>
                <w:shd w:val="clear" w:color="auto" w:fill="FFFFFF"/>
              </w:rPr>
              <w:t> </w:t>
            </w:r>
            <w:r w:rsidRPr="004C3B8A">
              <w:rPr>
                <w:rStyle w:val="uppercase"/>
                <w:color w:val="323232"/>
              </w:rPr>
              <w:t>Martens</w:t>
            </w:r>
            <w:r w:rsidRPr="004C3B8A">
              <w:rPr>
                <w:color w:val="323232"/>
                <w:shd w:val="clear" w:color="auto" w:fill="FFFFFF"/>
              </w:rPr>
              <w:t>, A. (1992). Des immigrés à intégrer: Choix politiques et modalités institutionnelles.</w:t>
            </w:r>
            <w:r w:rsidRPr="004C3B8A">
              <w:rPr>
                <w:rStyle w:val="apple-converted-space"/>
                <w:color w:val="323232"/>
                <w:shd w:val="clear" w:color="auto" w:fill="FFFFFF"/>
              </w:rPr>
              <w:t> </w:t>
            </w:r>
            <w:r w:rsidRPr="004C3B8A">
              <w:rPr>
                <w:i/>
                <w:iCs/>
                <w:color w:val="323232"/>
              </w:rPr>
              <w:t>Courrier hebdomadaire du CRISP</w:t>
            </w:r>
            <w:r w:rsidRPr="004C3B8A">
              <w:rPr>
                <w:color w:val="323232"/>
                <w:shd w:val="clear" w:color="auto" w:fill="FFFFFF"/>
              </w:rPr>
              <w:t>, 1358-1359, 1-72.</w:t>
            </w:r>
            <w:r w:rsidRPr="004C3B8A">
              <w:rPr>
                <w:rStyle w:val="apple-converted-space"/>
                <w:color w:val="323232"/>
                <w:shd w:val="clear" w:color="auto" w:fill="FFFFFF"/>
              </w:rPr>
              <w:t> </w:t>
            </w:r>
            <w:hyperlink r:id="rId17" w:history="1">
              <w:r>
                <w:rPr>
                  <w:rStyle w:val="Lienhypertexte"/>
                </w:rPr>
                <w:t>https://doi.org/10.3917/cris.1358.0001</w:t>
              </w:r>
            </w:hyperlink>
          </w:p>
          <w:p w14:paraId="5A66AD32" w14:textId="77777777" w:rsidR="004718C5" w:rsidRDefault="004718C5" w:rsidP="004718C5">
            <w:pPr>
              <w:pStyle w:val="Paragraphedeliste"/>
              <w:spacing w:after="0"/>
            </w:pPr>
          </w:p>
          <w:p w14:paraId="23D2267D" w14:textId="35D36155" w:rsidR="004718C5" w:rsidRDefault="004718C5" w:rsidP="004718C5">
            <w:pPr>
              <w:pStyle w:val="Paragraphedeliste"/>
              <w:numPr>
                <w:ilvl w:val="0"/>
                <w:numId w:val="6"/>
              </w:numPr>
            </w:pPr>
            <w:r w:rsidRPr="004718C5">
              <w:rPr>
                <w:rFonts w:ascii="Arial" w:hAnsi="Arial" w:cs="Arial"/>
                <w:sz w:val="20"/>
                <w:szCs w:val="20"/>
                <w:bdr w:val="none" w:sz="0" w:space="0" w:color="auto" w:frame="1"/>
              </w:rPr>
              <w:t xml:space="preserve">Pierre Gilbert. (2020, avril 16). Le Covid-19, la guerre et les quartiers </w:t>
            </w:r>
            <w:proofErr w:type="spellStart"/>
            <w:r w:rsidRPr="004718C5">
              <w:rPr>
                <w:rFonts w:ascii="Arial" w:hAnsi="Arial" w:cs="Arial"/>
                <w:sz w:val="20"/>
                <w:szCs w:val="20"/>
                <w:bdr w:val="none" w:sz="0" w:space="0" w:color="auto" w:frame="1"/>
              </w:rPr>
              <w:t>populairesConsulté</w:t>
            </w:r>
            <w:proofErr w:type="spellEnd"/>
            <w:r w:rsidRPr="004718C5">
              <w:rPr>
                <w:rFonts w:ascii="Arial" w:hAnsi="Arial" w:cs="Arial"/>
                <w:sz w:val="20"/>
                <w:szCs w:val="20"/>
                <w:bdr w:val="none" w:sz="0" w:space="0" w:color="auto" w:frame="1"/>
              </w:rPr>
              <w:t xml:space="preserve"> à l’adresse https://www.lesinrocks.com/2016/05/29/actualite/actualite/violences-policieres-lobjectif-nest-plus-de-repousser-groupe-de-blesser-individus</w:t>
            </w:r>
          </w:p>
          <w:p w14:paraId="4C93B3B6" w14:textId="77777777" w:rsidR="004718C5" w:rsidRPr="004C3B8A" w:rsidRDefault="004718C5" w:rsidP="004718C5">
            <w:pPr>
              <w:pStyle w:val="Paragraphedeliste"/>
              <w:spacing w:after="0"/>
            </w:pPr>
          </w:p>
          <w:p w14:paraId="7BBB1447" w14:textId="77777777" w:rsidR="0038353E" w:rsidRPr="006159BE" w:rsidRDefault="0038353E" w:rsidP="0038353E">
            <w:pPr>
              <w:pStyle w:val="NormalWeb"/>
              <w:spacing w:before="0" w:beforeAutospacing="0" w:after="0" w:afterAutospacing="0" w:line="360" w:lineRule="auto"/>
              <w:jc w:val="both"/>
              <w:rPr>
                <w:color w:val="000000"/>
              </w:rPr>
            </w:pPr>
          </w:p>
          <w:p w14:paraId="5305D1D1" w14:textId="77777777" w:rsidR="0038353E" w:rsidRPr="006159BE" w:rsidRDefault="0038353E" w:rsidP="0038353E">
            <w:pPr>
              <w:pStyle w:val="NormalWeb"/>
              <w:spacing w:before="0" w:beforeAutospacing="0" w:after="0" w:afterAutospacing="0" w:line="360" w:lineRule="auto"/>
              <w:jc w:val="both"/>
              <w:rPr>
                <w:color w:val="000000"/>
              </w:rPr>
            </w:pPr>
            <w:r w:rsidRPr="006159BE">
              <w:rPr>
                <w:color w:val="000000"/>
              </w:rPr>
              <w:t>Articles de presse :</w:t>
            </w:r>
          </w:p>
          <w:p w14:paraId="214F19AB"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Darin</w:t>
            </w:r>
            <w:proofErr w:type="spellEnd"/>
            <w:r w:rsidRPr="006159BE">
              <w:rPr>
                <w:color w:val="000000"/>
              </w:rPr>
              <w:t>, L. (2021, 5 janvier).</w:t>
            </w:r>
            <w:r w:rsidRPr="006159BE">
              <w:rPr>
                <w:rStyle w:val="apple-converted-space"/>
                <w:color w:val="000000"/>
              </w:rPr>
              <w:t> </w:t>
            </w:r>
            <w:r w:rsidRPr="006159BE">
              <w:rPr>
                <w:i/>
                <w:iCs/>
                <w:color w:val="000000"/>
              </w:rPr>
              <w:t>31 décembre : des hélicoptères déployés dans les quartiers populaires pour réprimer</w:t>
            </w:r>
            <w:r w:rsidRPr="006159BE">
              <w:rPr>
                <w:color w:val="000000"/>
              </w:rPr>
              <w:t xml:space="preserve">. Révolution Permanente. </w:t>
            </w:r>
            <w:hyperlink r:id="rId18" w:history="1">
              <w:r w:rsidRPr="006159BE">
                <w:rPr>
                  <w:rStyle w:val="Lienhypertexte"/>
                </w:rPr>
                <w:t>https://www.revolutionpermanente.fr/31-decembre-des-helicopteres</w:t>
              </w:r>
            </w:hyperlink>
          </w:p>
          <w:p w14:paraId="72986752" w14:textId="77777777" w:rsidR="0038353E" w:rsidRPr="006159BE" w:rsidRDefault="0038353E" w:rsidP="0038353E">
            <w:pPr>
              <w:pStyle w:val="NormalWeb"/>
              <w:numPr>
                <w:ilvl w:val="0"/>
                <w:numId w:val="6"/>
              </w:numPr>
              <w:spacing w:before="0" w:beforeAutospacing="0" w:after="0" w:afterAutospacing="0" w:line="360" w:lineRule="auto"/>
              <w:jc w:val="both"/>
              <w:rPr>
                <w:color w:val="000000"/>
                <w:lang w:val="en-US"/>
              </w:rPr>
            </w:pPr>
            <w:r w:rsidRPr="006159BE">
              <w:rPr>
                <w:color w:val="000000"/>
              </w:rPr>
              <w:t>Belga. (2018, 10 septembre).</w:t>
            </w:r>
            <w:r w:rsidRPr="006159BE">
              <w:rPr>
                <w:rStyle w:val="apple-converted-space"/>
                <w:color w:val="000000"/>
              </w:rPr>
              <w:t> </w:t>
            </w:r>
            <w:r w:rsidRPr="006159BE">
              <w:rPr>
                <w:i/>
                <w:iCs/>
                <w:color w:val="000000"/>
              </w:rPr>
              <w:t xml:space="preserve">La mort de </w:t>
            </w:r>
            <w:proofErr w:type="spellStart"/>
            <w:r w:rsidRPr="006159BE">
              <w:rPr>
                <w:i/>
                <w:iCs/>
                <w:color w:val="000000"/>
              </w:rPr>
              <w:t>Semira</w:t>
            </w:r>
            <w:proofErr w:type="spellEnd"/>
            <w:r w:rsidRPr="006159BE">
              <w:rPr>
                <w:i/>
                <w:iCs/>
                <w:color w:val="000000"/>
              </w:rPr>
              <w:t xml:space="preserve"> </w:t>
            </w:r>
            <w:proofErr w:type="spellStart"/>
            <w:r w:rsidRPr="006159BE">
              <w:rPr>
                <w:i/>
                <w:iCs/>
                <w:color w:val="000000"/>
              </w:rPr>
              <w:t>Adamu</w:t>
            </w:r>
            <w:proofErr w:type="spellEnd"/>
            <w:r w:rsidRPr="006159BE">
              <w:rPr>
                <w:i/>
                <w:iCs/>
                <w:color w:val="000000"/>
              </w:rPr>
              <w:t>, il y a 20 ans : un « traumatisme collectif » en Belgique</w:t>
            </w:r>
            <w:r w:rsidRPr="006159BE">
              <w:rPr>
                <w:color w:val="000000"/>
              </w:rPr>
              <w:t xml:space="preserve">. </w:t>
            </w:r>
            <w:r w:rsidRPr="006159BE">
              <w:rPr>
                <w:color w:val="000000"/>
                <w:lang w:val="en-US"/>
              </w:rPr>
              <w:t>RTBF. https://www.rtbf.be/article/la-mort-de-semira-adamu-il-y-a-20-ans-un-traumatisme-collectif-en-belgique-10014960</w:t>
            </w:r>
          </w:p>
          <w:p w14:paraId="5BC0A973"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StreetPress</w:t>
            </w:r>
            <w:proofErr w:type="spellEnd"/>
            <w:r w:rsidRPr="006159BE">
              <w:rPr>
                <w:color w:val="000000"/>
              </w:rPr>
              <w:t>. (2017, 23 mai).</w:t>
            </w:r>
            <w:r w:rsidRPr="006159BE">
              <w:rPr>
                <w:rStyle w:val="apple-converted-space"/>
                <w:color w:val="000000"/>
              </w:rPr>
              <w:t> </w:t>
            </w:r>
            <w:r w:rsidRPr="006159BE">
              <w:rPr>
                <w:i/>
                <w:iCs/>
                <w:color w:val="000000"/>
              </w:rPr>
              <w:t>En 10 ans, 47 décès liés aux violences policières, aucun fonctionnaire en prison</w:t>
            </w:r>
            <w:r w:rsidRPr="006159BE">
              <w:rPr>
                <w:color w:val="000000"/>
              </w:rPr>
              <w:t>. https://www.streetpress.com/sujet/1495554039-morts-victimes-police</w:t>
            </w:r>
          </w:p>
          <w:p w14:paraId="093199F1"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r w:rsidRPr="006159BE">
              <w:rPr>
                <w:i/>
                <w:iCs/>
                <w:color w:val="000000"/>
              </w:rPr>
              <w:t>Des policiers ont-ils déjà étés condamnés à de la prison ferme suite à des faits de violence ?</w:t>
            </w:r>
            <w:r w:rsidRPr="006159BE">
              <w:rPr>
                <w:rStyle w:val="apple-converted-space"/>
                <w:color w:val="000000"/>
              </w:rPr>
              <w:t> </w:t>
            </w:r>
            <w:r w:rsidRPr="006159BE">
              <w:rPr>
                <w:color w:val="000000"/>
              </w:rPr>
              <w:t>(2017, 30 novembre). Libération. https://www.liberation.fr/checknews/2017/11/30/des-policiers-ont-ils-deja-etes-condamnes-a-de-la-prison-ferme-suite-a-des-faits-de-violence_1652597/</w:t>
            </w:r>
          </w:p>
          <w:p w14:paraId="4EEB5B03"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r w:rsidRPr="006159BE">
              <w:rPr>
                <w:color w:val="000000"/>
              </w:rPr>
              <w:t>Externe, C. (2019, 20 mai).</w:t>
            </w:r>
            <w:r w:rsidRPr="006159BE">
              <w:rPr>
                <w:rStyle w:val="apple-converted-space"/>
                <w:color w:val="000000"/>
              </w:rPr>
              <w:t> </w:t>
            </w:r>
            <w:proofErr w:type="spellStart"/>
            <w:r w:rsidRPr="006159BE">
              <w:rPr>
                <w:i/>
                <w:iCs/>
                <w:color w:val="000000"/>
              </w:rPr>
              <w:t>Mawda</w:t>
            </w:r>
            <w:proofErr w:type="spellEnd"/>
            <w:r w:rsidRPr="006159BE">
              <w:rPr>
                <w:i/>
                <w:iCs/>
                <w:color w:val="000000"/>
              </w:rPr>
              <w:t xml:space="preserve"> : une enfant tuée, la vérité escamotée (réaction du procureur général de Mons)</w:t>
            </w:r>
            <w:r w:rsidRPr="006159BE">
              <w:rPr>
                <w:color w:val="000000"/>
              </w:rPr>
              <w:t>. La Libre.be. https://www.lalibre.be/debats/opinions/2019/05/16/mawda-une-enfant-tuee-la-verite-escamotee-reaction-du-procureur-general-de-mons-HTVVPNZKDZC27BKW6H67F7ODBA/</w:t>
            </w:r>
          </w:p>
          <w:p w14:paraId="360F5F3A"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Zin</w:t>
            </w:r>
            <w:proofErr w:type="spellEnd"/>
            <w:r w:rsidRPr="006159BE">
              <w:rPr>
                <w:color w:val="000000"/>
              </w:rPr>
              <w:t xml:space="preserve"> TV. (2021, 29 septembre).</w:t>
            </w:r>
            <w:r w:rsidRPr="006159BE">
              <w:rPr>
                <w:rStyle w:val="apple-converted-space"/>
                <w:color w:val="000000"/>
              </w:rPr>
              <w:t> </w:t>
            </w:r>
            <w:r w:rsidRPr="006159BE">
              <w:rPr>
                <w:i/>
                <w:iCs/>
                <w:color w:val="000000"/>
              </w:rPr>
              <w:t>Son nom est Moïse Lamine Bangoura</w:t>
            </w:r>
            <w:r w:rsidRPr="006159BE">
              <w:rPr>
                <w:color w:val="000000"/>
              </w:rPr>
              <w:t>. https://zintv.org/video/son-nom-est-lamine-moise-bangoura/</w:t>
            </w:r>
          </w:p>
          <w:p w14:paraId="06C50572" w14:textId="77777777" w:rsidR="0038353E" w:rsidRPr="006159BE" w:rsidRDefault="0038353E" w:rsidP="0038353E">
            <w:pPr>
              <w:pStyle w:val="NormalWeb"/>
              <w:numPr>
                <w:ilvl w:val="0"/>
                <w:numId w:val="6"/>
              </w:numPr>
              <w:spacing w:before="0" w:beforeAutospacing="0" w:after="0" w:afterAutospacing="0" w:line="360" w:lineRule="auto"/>
              <w:jc w:val="both"/>
              <w:rPr>
                <w:color w:val="000000"/>
                <w:lang w:val="en-US"/>
              </w:rPr>
            </w:pPr>
            <w:proofErr w:type="spellStart"/>
            <w:r w:rsidRPr="006159BE">
              <w:rPr>
                <w:color w:val="000000"/>
              </w:rPr>
              <w:t>Caulier</w:t>
            </w:r>
            <w:proofErr w:type="spellEnd"/>
            <w:r w:rsidRPr="006159BE">
              <w:rPr>
                <w:color w:val="000000"/>
              </w:rPr>
              <w:t>, P. M. A. F. G. E. M. (2021, 4 novembre).</w:t>
            </w:r>
            <w:r w:rsidRPr="006159BE">
              <w:rPr>
                <w:rStyle w:val="apple-converted-space"/>
                <w:color w:val="000000"/>
              </w:rPr>
              <w:t> </w:t>
            </w:r>
            <w:r w:rsidRPr="006159BE">
              <w:rPr>
                <w:i/>
                <w:iCs/>
                <w:color w:val="000000"/>
              </w:rPr>
              <w:t xml:space="preserve">Décès de la petite </w:t>
            </w:r>
            <w:proofErr w:type="spellStart"/>
            <w:r w:rsidRPr="006159BE">
              <w:rPr>
                <w:i/>
                <w:iCs/>
                <w:color w:val="000000"/>
              </w:rPr>
              <w:t>Mawda</w:t>
            </w:r>
            <w:proofErr w:type="spellEnd"/>
            <w:r w:rsidRPr="006159BE">
              <w:rPr>
                <w:i/>
                <w:iCs/>
                <w:color w:val="000000"/>
              </w:rPr>
              <w:t xml:space="preserve"> : la cour d’appel réduit la peine du policier</w:t>
            </w:r>
            <w:r w:rsidRPr="006159BE">
              <w:rPr>
                <w:color w:val="000000"/>
              </w:rPr>
              <w:t xml:space="preserve">. </w:t>
            </w:r>
            <w:r w:rsidRPr="006159BE">
              <w:rPr>
                <w:color w:val="000000"/>
                <w:lang w:val="en-US"/>
              </w:rPr>
              <w:t>RTBF. https://www.rtbf.be/article/deces-de-la-petite-mawda-la-cour-d-appel-reduit-la-peine-du-policier-10872867</w:t>
            </w:r>
          </w:p>
          <w:p w14:paraId="4F6EA3EE"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Bouffioux</w:t>
            </w:r>
            <w:proofErr w:type="spellEnd"/>
            <w:r w:rsidRPr="006159BE">
              <w:rPr>
                <w:color w:val="000000"/>
              </w:rPr>
              <w:t>, M. (2018, 22 décembre).</w:t>
            </w:r>
            <w:r w:rsidRPr="006159BE">
              <w:rPr>
                <w:rStyle w:val="apple-converted-space"/>
                <w:color w:val="000000"/>
              </w:rPr>
              <w:t> </w:t>
            </w:r>
            <w:proofErr w:type="spellStart"/>
            <w:r w:rsidRPr="006159BE">
              <w:rPr>
                <w:i/>
                <w:iCs/>
                <w:color w:val="000000"/>
              </w:rPr>
              <w:t>Mawda</w:t>
            </w:r>
            <w:proofErr w:type="spellEnd"/>
            <w:r w:rsidRPr="006159BE">
              <w:rPr>
                <w:i/>
                <w:iCs/>
                <w:color w:val="000000"/>
              </w:rPr>
              <w:t xml:space="preserve"> : les zones d’ombres d’une « opération Médusa »</w:t>
            </w:r>
            <w:r w:rsidRPr="006159BE">
              <w:rPr>
                <w:color w:val="000000"/>
              </w:rPr>
              <w:t>. parismatch.be. https://parismatch.be/actualites/societe/218014/mawda-les-zones-dombres-dune-operation-medusa</w:t>
            </w:r>
          </w:p>
          <w:p w14:paraId="6293C02B"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t>Bouffioux</w:t>
            </w:r>
            <w:proofErr w:type="spellEnd"/>
            <w:r w:rsidRPr="006159BE">
              <w:rPr>
                <w:color w:val="000000"/>
              </w:rPr>
              <w:t>, M. (2019, 7 mars).</w:t>
            </w:r>
            <w:r w:rsidRPr="006159BE">
              <w:rPr>
                <w:rStyle w:val="apple-converted-space"/>
                <w:color w:val="000000"/>
              </w:rPr>
              <w:t> </w:t>
            </w:r>
            <w:r w:rsidRPr="006159BE">
              <w:rPr>
                <w:i/>
                <w:iCs/>
                <w:color w:val="000000"/>
              </w:rPr>
              <w:t xml:space="preserve">L’avocate des parents de </w:t>
            </w:r>
            <w:proofErr w:type="spellStart"/>
            <w:r w:rsidRPr="006159BE">
              <w:rPr>
                <w:i/>
                <w:iCs/>
                <w:color w:val="000000"/>
              </w:rPr>
              <w:t>Mawda</w:t>
            </w:r>
            <w:proofErr w:type="spellEnd"/>
            <w:r w:rsidRPr="006159BE">
              <w:rPr>
                <w:i/>
                <w:iCs/>
                <w:color w:val="000000"/>
              </w:rPr>
              <w:t xml:space="preserve"> accuse : « L’État porte la responsabilité morale de ce qui s’est passé »</w:t>
            </w:r>
            <w:r w:rsidRPr="006159BE">
              <w:rPr>
                <w:color w:val="000000"/>
              </w:rPr>
              <w:t>. parismatch.be. https://parismatch.be/actualites/societe/246206/lavocate-des-parents-de-mawda-accuse-letat-porte-la-responsabilite-morale-de-ce-qui-sest-passe</w:t>
            </w:r>
          </w:p>
          <w:p w14:paraId="5940223D"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proofErr w:type="spellStart"/>
            <w:r w:rsidRPr="006159BE">
              <w:rPr>
                <w:color w:val="000000"/>
              </w:rPr>
              <w:lastRenderedPageBreak/>
              <w:t>Bouffioux</w:t>
            </w:r>
            <w:proofErr w:type="spellEnd"/>
            <w:r w:rsidRPr="006159BE">
              <w:rPr>
                <w:color w:val="000000"/>
              </w:rPr>
              <w:t>, M. (2021, 18 février).</w:t>
            </w:r>
            <w:r w:rsidRPr="006159BE">
              <w:rPr>
                <w:rStyle w:val="apple-converted-space"/>
                <w:color w:val="000000"/>
              </w:rPr>
              <w:t> </w:t>
            </w:r>
            <w:proofErr w:type="spellStart"/>
            <w:r w:rsidRPr="006159BE">
              <w:rPr>
                <w:i/>
                <w:iCs/>
                <w:color w:val="000000"/>
              </w:rPr>
              <w:t>Mawda</w:t>
            </w:r>
            <w:proofErr w:type="spellEnd"/>
            <w:r w:rsidRPr="006159BE">
              <w:rPr>
                <w:i/>
                <w:iCs/>
                <w:color w:val="000000"/>
              </w:rPr>
              <w:t>, la contre-enquête</w:t>
            </w:r>
            <w:r w:rsidRPr="006159BE">
              <w:rPr>
                <w:color w:val="000000"/>
              </w:rPr>
              <w:t xml:space="preserve">. Le blog de Michel </w:t>
            </w:r>
            <w:proofErr w:type="spellStart"/>
            <w:r w:rsidRPr="006159BE">
              <w:rPr>
                <w:color w:val="000000"/>
              </w:rPr>
              <w:t>Bouffioux</w:t>
            </w:r>
            <w:proofErr w:type="spellEnd"/>
            <w:r w:rsidRPr="006159BE">
              <w:rPr>
                <w:color w:val="000000"/>
              </w:rPr>
              <w:t xml:space="preserve">. </w:t>
            </w:r>
            <w:hyperlink r:id="rId19" w:history="1">
              <w:r w:rsidRPr="006159BE">
                <w:rPr>
                  <w:rStyle w:val="Lienhypertexte"/>
                </w:rPr>
                <w:t>https://www.michelbouffioux.be/2018/12/mawda-la-contre-enquete.html</w:t>
              </w:r>
            </w:hyperlink>
          </w:p>
          <w:p w14:paraId="0C6E583A" w14:textId="77777777" w:rsidR="0038353E" w:rsidRPr="006159BE" w:rsidRDefault="0038353E" w:rsidP="0038353E">
            <w:pPr>
              <w:pStyle w:val="NormalWeb"/>
              <w:numPr>
                <w:ilvl w:val="0"/>
                <w:numId w:val="6"/>
              </w:numPr>
              <w:spacing w:before="0" w:beforeAutospacing="0" w:after="0" w:afterAutospacing="0" w:line="480" w:lineRule="atLeast"/>
              <w:rPr>
                <w:color w:val="000000"/>
              </w:rPr>
            </w:pPr>
            <w:proofErr w:type="spellStart"/>
            <w:r w:rsidRPr="006159BE">
              <w:rPr>
                <w:color w:val="000000"/>
              </w:rPr>
              <w:t>Mukuna</w:t>
            </w:r>
            <w:proofErr w:type="spellEnd"/>
            <w:r w:rsidRPr="006159BE">
              <w:rPr>
                <w:color w:val="000000"/>
              </w:rPr>
              <w:t>, O. (2022, 25 juin).</w:t>
            </w:r>
            <w:r w:rsidRPr="006159BE">
              <w:rPr>
                <w:rStyle w:val="apple-converted-space"/>
                <w:color w:val="000000"/>
              </w:rPr>
              <w:t> </w:t>
            </w:r>
            <w:r w:rsidRPr="006159BE">
              <w:rPr>
                <w:i/>
                <w:iCs/>
                <w:color w:val="000000"/>
              </w:rPr>
              <w:t>Le corps de Lamine Bangoura a été rendu à sa famille (VIDÉO)</w:t>
            </w:r>
            <w:r w:rsidRPr="006159BE">
              <w:rPr>
                <w:color w:val="000000"/>
              </w:rPr>
              <w:t>. Cité 24. https://cite24.com/le-corps-de-lamine-bangoura-a-ete-rendu-a-sa-famille-video/</w:t>
            </w:r>
          </w:p>
          <w:p w14:paraId="003B694A" w14:textId="77777777" w:rsidR="0038353E" w:rsidRPr="006159BE" w:rsidRDefault="0038353E" w:rsidP="0038353E">
            <w:pPr>
              <w:pStyle w:val="NormalWeb"/>
              <w:spacing w:before="0" w:beforeAutospacing="0" w:after="0" w:afterAutospacing="0" w:line="360" w:lineRule="auto"/>
              <w:ind w:left="720"/>
              <w:jc w:val="both"/>
              <w:rPr>
                <w:color w:val="000000"/>
              </w:rPr>
            </w:pPr>
          </w:p>
          <w:p w14:paraId="0242E28D" w14:textId="77777777" w:rsidR="0038353E" w:rsidRPr="006159BE" w:rsidRDefault="0038353E" w:rsidP="0038353E">
            <w:pPr>
              <w:spacing w:line="360" w:lineRule="auto"/>
              <w:jc w:val="both"/>
              <w:rPr>
                <w:rFonts w:ascii="Times" w:hAnsi="Times"/>
                <w:sz w:val="24"/>
                <w:szCs w:val="24"/>
              </w:rPr>
            </w:pPr>
            <w:r w:rsidRPr="006159BE">
              <w:rPr>
                <w:rFonts w:ascii="Times" w:hAnsi="Times"/>
                <w:sz w:val="24"/>
                <w:szCs w:val="24"/>
              </w:rPr>
              <w:t>Autres lectures :</w:t>
            </w:r>
          </w:p>
          <w:p w14:paraId="5AF9E435"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r w:rsidRPr="006159BE">
              <w:rPr>
                <w:color w:val="000000"/>
              </w:rPr>
              <w:t>Vander Elst, M. (2021, 9 septembre).</w:t>
            </w:r>
            <w:r w:rsidRPr="006159BE">
              <w:rPr>
                <w:rStyle w:val="apple-converted-space"/>
                <w:color w:val="000000"/>
              </w:rPr>
              <w:t> </w:t>
            </w:r>
            <w:r w:rsidRPr="006159BE">
              <w:rPr>
                <w:i/>
                <w:iCs/>
                <w:color w:val="000000"/>
              </w:rPr>
              <w:t>Au cœur de l’impunité : les techniques policières d’interpellation</w:t>
            </w:r>
            <w:r w:rsidRPr="006159BE">
              <w:rPr>
                <w:color w:val="000000"/>
              </w:rPr>
              <w:t>. Jeunes organisés et combatifs. https://joc.be/au-coeur-de-limpunite-les-techniques-policieres-dinterpellation/</w:t>
            </w:r>
          </w:p>
          <w:p w14:paraId="3FB4BB2E" w14:textId="77777777" w:rsidR="0038353E" w:rsidRPr="006159BE" w:rsidRDefault="0038353E" w:rsidP="0038353E">
            <w:pPr>
              <w:pStyle w:val="NormalWeb"/>
              <w:numPr>
                <w:ilvl w:val="0"/>
                <w:numId w:val="6"/>
              </w:numPr>
              <w:spacing w:before="0" w:beforeAutospacing="0" w:after="0" w:afterAutospacing="0" w:line="360" w:lineRule="auto"/>
              <w:jc w:val="both"/>
              <w:rPr>
                <w:color w:val="000000"/>
              </w:rPr>
            </w:pPr>
            <w:r w:rsidRPr="006159BE">
              <w:rPr>
                <w:color w:val="000000"/>
              </w:rPr>
              <w:t>Amara, A., Vander Elst, M. (2021b, septembre 9).</w:t>
            </w:r>
            <w:r w:rsidRPr="006159BE">
              <w:rPr>
                <w:rStyle w:val="apple-converted-space"/>
                <w:color w:val="000000"/>
              </w:rPr>
              <w:t> </w:t>
            </w:r>
            <w:r w:rsidRPr="006159BE">
              <w:rPr>
                <w:i/>
                <w:iCs/>
                <w:color w:val="000000"/>
              </w:rPr>
              <w:t>La lutte pour la régularisation des sans-papiers comme résistance au racisme d’État</w:t>
            </w:r>
            <w:r w:rsidRPr="006159BE">
              <w:rPr>
                <w:color w:val="000000"/>
              </w:rPr>
              <w:t>. Jeunes organisés et combatifs. https://joc.be/la-lutte-pour-la-regularisation-des-sans-papiers-comme-resistance-au-racisme-detat/</w:t>
            </w:r>
          </w:p>
          <w:p w14:paraId="137DA9E2" w14:textId="75D6F9D2" w:rsidR="0038353E" w:rsidRDefault="0038353E" w:rsidP="004718C5">
            <w:pPr>
              <w:pStyle w:val="Paragraphedeliste"/>
              <w:spacing w:line="360" w:lineRule="auto"/>
              <w:jc w:val="both"/>
              <w:rPr>
                <w:rFonts w:ascii="Times" w:hAnsi="Times"/>
              </w:rPr>
            </w:pPr>
          </w:p>
          <w:p w14:paraId="533AD883" w14:textId="1390F0BC" w:rsidR="004718C5" w:rsidRDefault="004718C5" w:rsidP="004718C5">
            <w:pPr>
              <w:pStyle w:val="Paragraphedeliste"/>
              <w:spacing w:line="360" w:lineRule="auto"/>
              <w:jc w:val="both"/>
              <w:rPr>
                <w:rFonts w:ascii="Times" w:hAnsi="Times"/>
              </w:rPr>
            </w:pPr>
          </w:p>
          <w:p w14:paraId="3A70194A" w14:textId="7987002D" w:rsidR="004718C5" w:rsidRDefault="004718C5" w:rsidP="004718C5">
            <w:pPr>
              <w:pStyle w:val="Paragraphedeliste"/>
              <w:spacing w:line="360" w:lineRule="auto"/>
              <w:jc w:val="both"/>
              <w:rPr>
                <w:rFonts w:ascii="Times" w:hAnsi="Times"/>
              </w:rPr>
            </w:pPr>
          </w:p>
          <w:p w14:paraId="4B1EA573" w14:textId="71BE0437" w:rsidR="004718C5" w:rsidRDefault="004718C5" w:rsidP="004718C5">
            <w:pPr>
              <w:pStyle w:val="Paragraphedeliste"/>
              <w:spacing w:line="360" w:lineRule="auto"/>
              <w:jc w:val="both"/>
              <w:rPr>
                <w:rFonts w:ascii="Times" w:hAnsi="Times"/>
              </w:rPr>
            </w:pPr>
          </w:p>
          <w:p w14:paraId="21B4B136" w14:textId="2BFF2894" w:rsidR="004718C5" w:rsidRDefault="004718C5" w:rsidP="004718C5">
            <w:pPr>
              <w:pStyle w:val="Paragraphedeliste"/>
              <w:spacing w:line="360" w:lineRule="auto"/>
              <w:jc w:val="both"/>
              <w:rPr>
                <w:rFonts w:ascii="Times" w:hAnsi="Times"/>
              </w:rPr>
            </w:pPr>
          </w:p>
          <w:p w14:paraId="76C485F0" w14:textId="6C532FA9" w:rsidR="004718C5" w:rsidRDefault="004718C5" w:rsidP="004718C5">
            <w:pPr>
              <w:pStyle w:val="Paragraphedeliste"/>
              <w:spacing w:line="360" w:lineRule="auto"/>
              <w:jc w:val="both"/>
              <w:rPr>
                <w:rFonts w:ascii="Times" w:hAnsi="Times"/>
              </w:rPr>
            </w:pPr>
          </w:p>
          <w:p w14:paraId="4E5860C0" w14:textId="2F84976B" w:rsidR="004718C5" w:rsidRDefault="004718C5" w:rsidP="004718C5">
            <w:pPr>
              <w:pStyle w:val="Paragraphedeliste"/>
              <w:spacing w:line="360" w:lineRule="auto"/>
              <w:jc w:val="both"/>
              <w:rPr>
                <w:rFonts w:ascii="Times" w:hAnsi="Times"/>
              </w:rPr>
            </w:pPr>
          </w:p>
          <w:p w14:paraId="0CB1AC68" w14:textId="77777777" w:rsidR="004718C5" w:rsidRPr="006159BE" w:rsidRDefault="004718C5" w:rsidP="004718C5">
            <w:pPr>
              <w:pStyle w:val="Paragraphedeliste"/>
              <w:spacing w:line="360" w:lineRule="auto"/>
              <w:jc w:val="both"/>
              <w:rPr>
                <w:rFonts w:ascii="Times" w:hAnsi="Times"/>
              </w:rPr>
            </w:pPr>
          </w:p>
          <w:p w14:paraId="7E05DB25" w14:textId="7EB81652" w:rsidR="00023803" w:rsidRPr="006159BE" w:rsidRDefault="00023803" w:rsidP="009610C2">
            <w:pPr>
              <w:rPr>
                <w:sz w:val="24"/>
                <w:szCs w:val="24"/>
              </w:rPr>
            </w:pPr>
          </w:p>
        </w:tc>
      </w:tr>
      <w:tr w:rsidR="00023803" w:rsidRPr="006159BE" w14:paraId="10FBE8CC" w14:textId="77777777" w:rsidTr="009610C2">
        <w:trPr>
          <w:trHeight w:val="4876"/>
        </w:trPr>
        <w:tc>
          <w:tcPr>
            <w:tcW w:w="10628" w:type="dxa"/>
            <w:shd w:val="clear" w:color="auto" w:fill="76AD1C"/>
          </w:tcPr>
          <w:p w14:paraId="60824C30" w14:textId="77777777" w:rsidR="00023803" w:rsidRPr="006159BE" w:rsidRDefault="00023803" w:rsidP="009610C2">
            <w:pPr>
              <w:rPr>
                <w:sz w:val="24"/>
                <w:szCs w:val="24"/>
              </w:rPr>
            </w:pPr>
          </w:p>
          <w:p w14:paraId="01B1AF39" w14:textId="77777777" w:rsidR="00023803" w:rsidRPr="006159BE" w:rsidRDefault="00023803" w:rsidP="009610C2">
            <w:pPr>
              <w:rPr>
                <w:sz w:val="24"/>
                <w:szCs w:val="24"/>
              </w:rPr>
            </w:pPr>
          </w:p>
          <w:p w14:paraId="189BD2C2" w14:textId="77777777" w:rsidR="00023803" w:rsidRPr="006159BE" w:rsidRDefault="00023803" w:rsidP="009610C2">
            <w:pPr>
              <w:rPr>
                <w:sz w:val="24"/>
                <w:szCs w:val="24"/>
              </w:rPr>
            </w:pPr>
          </w:p>
          <w:p w14:paraId="2CF12709" w14:textId="77777777" w:rsidR="00023803" w:rsidRPr="006159BE" w:rsidRDefault="00023803" w:rsidP="009610C2">
            <w:pPr>
              <w:rPr>
                <w:sz w:val="24"/>
                <w:szCs w:val="24"/>
              </w:rPr>
            </w:pPr>
          </w:p>
          <w:p w14:paraId="3A73447C" w14:textId="77777777" w:rsidR="00023803" w:rsidRPr="006159BE" w:rsidRDefault="00023803" w:rsidP="009610C2">
            <w:pPr>
              <w:rPr>
                <w:sz w:val="24"/>
                <w:szCs w:val="24"/>
              </w:rPr>
            </w:pPr>
          </w:p>
          <w:p w14:paraId="73171612" w14:textId="77777777" w:rsidR="00023803" w:rsidRPr="006159BE" w:rsidRDefault="00023803" w:rsidP="009610C2">
            <w:pPr>
              <w:rPr>
                <w:sz w:val="24"/>
                <w:szCs w:val="24"/>
              </w:rPr>
            </w:pPr>
          </w:p>
          <w:p w14:paraId="57B6A640" w14:textId="77777777" w:rsidR="00023803" w:rsidRPr="006159BE" w:rsidRDefault="00023803" w:rsidP="009610C2">
            <w:pPr>
              <w:rPr>
                <w:sz w:val="24"/>
                <w:szCs w:val="24"/>
              </w:rPr>
            </w:pPr>
          </w:p>
          <w:p w14:paraId="1514CCE1" w14:textId="77777777" w:rsidR="00023803" w:rsidRPr="006159BE" w:rsidRDefault="00023803" w:rsidP="009610C2">
            <w:pPr>
              <w:rPr>
                <w:sz w:val="24"/>
                <w:szCs w:val="24"/>
              </w:rPr>
            </w:pPr>
          </w:p>
          <w:p w14:paraId="5A048F3B" w14:textId="77777777" w:rsidR="00023803" w:rsidRPr="006159BE" w:rsidRDefault="00023803" w:rsidP="009610C2">
            <w:pPr>
              <w:rPr>
                <w:sz w:val="24"/>
                <w:szCs w:val="24"/>
              </w:rPr>
            </w:pPr>
          </w:p>
          <w:p w14:paraId="7BF7ACD0" w14:textId="77777777" w:rsidR="00023803" w:rsidRPr="006159BE" w:rsidRDefault="00023803" w:rsidP="009610C2">
            <w:pPr>
              <w:rPr>
                <w:sz w:val="24"/>
                <w:szCs w:val="24"/>
              </w:rPr>
            </w:pPr>
          </w:p>
          <w:p w14:paraId="67AD945B" w14:textId="77777777" w:rsidR="00023803" w:rsidRPr="006159BE" w:rsidRDefault="00023803" w:rsidP="009610C2">
            <w:pPr>
              <w:rPr>
                <w:sz w:val="24"/>
                <w:szCs w:val="24"/>
              </w:rPr>
            </w:pPr>
          </w:p>
          <w:p w14:paraId="09215D60" w14:textId="77777777" w:rsidR="00023803" w:rsidRPr="006159BE" w:rsidRDefault="00023803" w:rsidP="009610C2">
            <w:pPr>
              <w:rPr>
                <w:sz w:val="24"/>
                <w:szCs w:val="24"/>
              </w:rPr>
            </w:pPr>
          </w:p>
          <w:p w14:paraId="6007D815" w14:textId="77777777" w:rsidR="00023803" w:rsidRPr="006159BE" w:rsidRDefault="00023803" w:rsidP="009610C2">
            <w:pPr>
              <w:rPr>
                <w:sz w:val="24"/>
                <w:szCs w:val="24"/>
              </w:rPr>
            </w:pPr>
          </w:p>
          <w:p w14:paraId="27F97DEA" w14:textId="77777777" w:rsidR="00023803" w:rsidRPr="006159BE" w:rsidRDefault="00023803" w:rsidP="009610C2">
            <w:pPr>
              <w:rPr>
                <w:sz w:val="24"/>
                <w:szCs w:val="24"/>
              </w:rPr>
            </w:pPr>
          </w:p>
          <w:p w14:paraId="29603D25" w14:textId="77777777" w:rsidR="00023803" w:rsidRPr="006159BE" w:rsidRDefault="00023803" w:rsidP="009610C2">
            <w:pPr>
              <w:rPr>
                <w:sz w:val="24"/>
                <w:szCs w:val="24"/>
              </w:rPr>
            </w:pPr>
          </w:p>
          <w:p w14:paraId="6C1684B0" w14:textId="77777777" w:rsidR="00023803" w:rsidRPr="006159BE" w:rsidRDefault="00023803" w:rsidP="009610C2">
            <w:pPr>
              <w:rPr>
                <w:sz w:val="24"/>
                <w:szCs w:val="24"/>
              </w:rPr>
            </w:pPr>
          </w:p>
          <w:p w14:paraId="36ED4262" w14:textId="77777777" w:rsidR="00023803" w:rsidRPr="006159BE" w:rsidRDefault="00023803" w:rsidP="009610C2">
            <w:pPr>
              <w:rPr>
                <w:sz w:val="24"/>
                <w:szCs w:val="24"/>
              </w:rPr>
            </w:pPr>
          </w:p>
          <w:p w14:paraId="4718798D" w14:textId="77777777" w:rsidR="00023803" w:rsidRPr="006159BE" w:rsidRDefault="00023803" w:rsidP="009610C2">
            <w:pPr>
              <w:rPr>
                <w:sz w:val="24"/>
                <w:szCs w:val="24"/>
              </w:rPr>
            </w:pPr>
          </w:p>
        </w:tc>
      </w:tr>
    </w:tbl>
    <w:p w14:paraId="17293F77" w14:textId="77777777" w:rsidR="004D7AA1" w:rsidRPr="006159BE" w:rsidRDefault="004D7AA1"/>
    <w:sectPr w:rsidR="004D7AA1" w:rsidRPr="006159BE" w:rsidSect="00B90F01">
      <w:footerReference w:type="even" r:id="rId20"/>
      <w:footerReference w:type="default" r:id="rId21"/>
      <w:pgSz w:w="11906" w:h="16838"/>
      <w:pgMar w:top="1417" w:right="1417" w:bottom="1417"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BE23EF" w14:textId="77777777" w:rsidR="00553461" w:rsidRDefault="00553461" w:rsidP="00B90F01">
      <w:r>
        <w:separator/>
      </w:r>
    </w:p>
  </w:endnote>
  <w:endnote w:type="continuationSeparator" w:id="0">
    <w:p w14:paraId="03F071E1" w14:textId="77777777" w:rsidR="00553461" w:rsidRDefault="00553461" w:rsidP="00B90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w:panose1 w:val="00000500000000020000"/>
    <w:charset w:val="00"/>
    <w:family w:val="auto"/>
    <w:pitch w:val="variable"/>
    <w:sig w:usb0="E00002FF" w:usb1="5000205A" w:usb2="00000000" w:usb3="00000000" w:csb0="000001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BoldMT">
    <w:altName w:val="Arial"/>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TimesNewRomanPS">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277763516"/>
      <w:docPartObj>
        <w:docPartGallery w:val="Page Numbers (Bottom of Page)"/>
        <w:docPartUnique/>
      </w:docPartObj>
    </w:sdtPr>
    <w:sdtContent>
      <w:p w14:paraId="017FE903" w14:textId="223A58AB" w:rsidR="00B90F01" w:rsidRDefault="00B90F01" w:rsidP="007E69F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sidR="00DB0B4A">
          <w:rPr>
            <w:rStyle w:val="Numrodepage"/>
          </w:rPr>
          <w:fldChar w:fldCharType="separate"/>
        </w:r>
        <w:r w:rsidR="00DB0B4A">
          <w:rPr>
            <w:rStyle w:val="Numrodepage"/>
            <w:noProof/>
          </w:rPr>
          <w:t>5</w:t>
        </w:r>
        <w:r>
          <w:rPr>
            <w:rStyle w:val="Numrodepage"/>
          </w:rPr>
          <w:fldChar w:fldCharType="end"/>
        </w:r>
      </w:p>
    </w:sdtContent>
  </w:sdt>
  <w:p w14:paraId="21EFA454" w14:textId="77777777" w:rsidR="00B90F01" w:rsidRDefault="00B90F01" w:rsidP="00B90F01">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rodepage"/>
      </w:rPr>
      <w:id w:val="2032135260"/>
      <w:docPartObj>
        <w:docPartGallery w:val="Page Numbers (Bottom of Page)"/>
        <w:docPartUnique/>
      </w:docPartObj>
    </w:sdtPr>
    <w:sdtContent>
      <w:p w14:paraId="71065C2D" w14:textId="7AC0DF50" w:rsidR="00B90F01" w:rsidRDefault="00B90F01" w:rsidP="007E69F7">
        <w:pPr>
          <w:pStyle w:val="Pieddepag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2</w:t>
        </w:r>
        <w:r>
          <w:rPr>
            <w:rStyle w:val="Numrodepage"/>
          </w:rPr>
          <w:fldChar w:fldCharType="end"/>
        </w:r>
      </w:p>
    </w:sdtContent>
  </w:sdt>
  <w:p w14:paraId="10F3B8D4" w14:textId="77777777" w:rsidR="00B90F01" w:rsidRDefault="00B90F01" w:rsidP="00B90F01">
    <w:pPr>
      <w:pStyle w:val="Pieddepag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D383A2" w14:textId="77777777" w:rsidR="00553461" w:rsidRDefault="00553461" w:rsidP="00B90F01">
      <w:r>
        <w:separator/>
      </w:r>
    </w:p>
  </w:footnote>
  <w:footnote w:type="continuationSeparator" w:id="0">
    <w:p w14:paraId="68F59F0B" w14:textId="77777777" w:rsidR="00553461" w:rsidRDefault="00553461" w:rsidP="00B90F01">
      <w:r>
        <w:continuationSeparator/>
      </w:r>
    </w:p>
  </w:footnote>
  <w:footnote w:id="1">
    <w:p w14:paraId="79DF855E" w14:textId="6BECE3C8" w:rsidR="00DB0B4A" w:rsidRPr="004C3B8A" w:rsidRDefault="00DB0B4A" w:rsidP="004C3B8A">
      <w:pPr>
        <w:spacing w:line="360" w:lineRule="auto"/>
        <w:jc w:val="both"/>
      </w:pPr>
      <w:r>
        <w:rPr>
          <w:rStyle w:val="Appelnotedebasdep"/>
        </w:rPr>
        <w:footnoteRef/>
      </w:r>
      <w:r>
        <w:t xml:space="preserve"> </w:t>
      </w:r>
      <w:proofErr w:type="spellStart"/>
      <w:r w:rsidR="004C3B8A" w:rsidRPr="004C3B8A">
        <w:rPr>
          <w:color w:val="323232"/>
        </w:rPr>
        <w:t>Mbembe</w:t>
      </w:r>
      <w:proofErr w:type="spellEnd"/>
      <w:r w:rsidR="004C3B8A" w:rsidRPr="004C3B8A">
        <w:rPr>
          <w:color w:val="323232"/>
          <w:shd w:val="clear" w:color="auto" w:fill="FFFFFF"/>
        </w:rPr>
        <w:t xml:space="preserve">, A. (2006). </w:t>
      </w:r>
      <w:proofErr w:type="spellStart"/>
      <w:r w:rsidR="004C3B8A" w:rsidRPr="004C3B8A">
        <w:rPr>
          <w:color w:val="323232"/>
          <w:shd w:val="clear" w:color="auto" w:fill="FFFFFF"/>
        </w:rPr>
        <w:t>Nécropolitique</w:t>
      </w:r>
      <w:proofErr w:type="spellEnd"/>
      <w:r w:rsidR="004C3B8A" w:rsidRPr="004C3B8A">
        <w:rPr>
          <w:color w:val="323232"/>
          <w:shd w:val="clear" w:color="auto" w:fill="FFFFFF"/>
        </w:rPr>
        <w:t>. </w:t>
      </w:r>
      <w:r w:rsidR="004C3B8A" w:rsidRPr="004C3B8A">
        <w:rPr>
          <w:i/>
          <w:iCs/>
          <w:color w:val="323232"/>
        </w:rPr>
        <w:t>Raisons politiques</w:t>
      </w:r>
      <w:r w:rsidR="004C3B8A" w:rsidRPr="004C3B8A">
        <w:rPr>
          <w:color w:val="323232"/>
          <w:shd w:val="clear" w:color="auto" w:fill="FFFFFF"/>
        </w:rPr>
        <w:t>, n</w:t>
      </w:r>
      <w:r w:rsidR="004C3B8A" w:rsidRPr="004C3B8A">
        <w:rPr>
          <w:color w:val="323232"/>
          <w:vertAlign w:val="superscript"/>
        </w:rPr>
        <w:t>o&lt;(sup&gt; 21), 29-60. </w:t>
      </w:r>
      <w:r w:rsidR="004C3B8A" w:rsidRPr="004C3B8A">
        <w:rPr>
          <w:color w:val="323232"/>
          <w:vertAlign w:val="superscript"/>
        </w:rPr>
        <w:fldChar w:fldCharType="begin"/>
      </w:r>
      <w:r w:rsidR="004C3B8A" w:rsidRPr="004C3B8A">
        <w:rPr>
          <w:color w:val="323232"/>
          <w:vertAlign w:val="superscript"/>
        </w:rPr>
        <w:instrText xml:space="preserve"> HYPERLINK "https://doi.org/10.3917/rai.021.0029" </w:instrText>
      </w:r>
      <w:r w:rsidR="004C3B8A" w:rsidRPr="004C3B8A">
        <w:rPr>
          <w:color w:val="323232"/>
          <w:vertAlign w:val="superscript"/>
        </w:rPr>
        <w:fldChar w:fldCharType="separate"/>
      </w:r>
      <w:r w:rsidR="004C3B8A" w:rsidRPr="004C3B8A">
        <w:rPr>
          <w:color w:val="0000FF"/>
          <w:u w:val="single"/>
          <w:vertAlign w:val="superscript"/>
        </w:rPr>
        <w:t>https://doi.org/10.3917/rai.021.0029</w:t>
      </w:r>
      <w:r w:rsidR="004C3B8A" w:rsidRPr="004C3B8A">
        <w:rPr>
          <w:color w:val="323232"/>
          <w:vertAlign w:val="superscript"/>
        </w:rPr>
        <w:fldChar w:fldCharType="end"/>
      </w:r>
    </w:p>
  </w:footnote>
  <w:footnote w:id="2">
    <w:p w14:paraId="49CB0E11" w14:textId="016DCA0C" w:rsidR="004C3B8A" w:rsidRPr="004C3B8A" w:rsidRDefault="004C3B8A">
      <w:pPr>
        <w:pStyle w:val="Notedebasdepage"/>
        <w:rPr>
          <w:lang w:val="fr-FR"/>
        </w:rPr>
      </w:pPr>
      <w:r>
        <w:rPr>
          <w:rStyle w:val="Appelnotedebasdep"/>
        </w:rPr>
        <w:footnoteRef/>
      </w:r>
      <w:r>
        <w:t xml:space="preserve"> </w:t>
      </w:r>
      <w:proofErr w:type="spellStart"/>
      <w:r>
        <w:t>Ibid</w:t>
      </w:r>
      <w:proofErr w:type="spellEnd"/>
    </w:p>
  </w:footnote>
  <w:footnote w:id="3">
    <w:p w14:paraId="555DA898" w14:textId="66488D72"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4">
    <w:p w14:paraId="7A63018E" w14:textId="323CDC30"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5">
    <w:p w14:paraId="7041846F" w14:textId="0469DFD2"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6">
    <w:p w14:paraId="0AB402DF" w14:textId="7D2072BF"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7">
    <w:p w14:paraId="64779A85" w14:textId="6C3E560B" w:rsidR="004C3B8A" w:rsidRPr="004C3B8A" w:rsidRDefault="004C3B8A" w:rsidP="004C3B8A">
      <w:pPr>
        <w:spacing w:line="360" w:lineRule="auto"/>
        <w:jc w:val="both"/>
      </w:pPr>
      <w:r>
        <w:rPr>
          <w:rStyle w:val="Appelnotedebasdep"/>
        </w:rPr>
        <w:footnoteRef/>
      </w:r>
      <w:r>
        <w:t xml:space="preserve"> </w:t>
      </w:r>
      <w:proofErr w:type="spellStart"/>
      <w:r w:rsidRPr="004C3B8A">
        <w:rPr>
          <w:color w:val="323232"/>
        </w:rPr>
        <w:t>Mbembe</w:t>
      </w:r>
      <w:proofErr w:type="spellEnd"/>
      <w:r w:rsidRPr="004C3B8A">
        <w:rPr>
          <w:color w:val="323232"/>
          <w:shd w:val="clear" w:color="auto" w:fill="FFFFFF"/>
        </w:rPr>
        <w:t xml:space="preserve">, A. (2006). </w:t>
      </w:r>
      <w:proofErr w:type="spellStart"/>
      <w:r w:rsidRPr="004C3B8A">
        <w:rPr>
          <w:color w:val="323232"/>
          <w:shd w:val="clear" w:color="auto" w:fill="FFFFFF"/>
        </w:rPr>
        <w:t>Nécropolitique</w:t>
      </w:r>
      <w:proofErr w:type="spellEnd"/>
      <w:r w:rsidRPr="004C3B8A">
        <w:rPr>
          <w:color w:val="323232"/>
          <w:shd w:val="clear" w:color="auto" w:fill="FFFFFF"/>
        </w:rPr>
        <w:t>. </w:t>
      </w:r>
      <w:r w:rsidRPr="004C3B8A">
        <w:rPr>
          <w:i/>
          <w:iCs/>
          <w:color w:val="323232"/>
        </w:rPr>
        <w:t>Raisons politiques</w:t>
      </w:r>
      <w:r w:rsidRPr="004C3B8A">
        <w:rPr>
          <w:color w:val="323232"/>
          <w:shd w:val="clear" w:color="auto" w:fill="FFFFFF"/>
        </w:rPr>
        <w:t>, n</w:t>
      </w:r>
      <w:r w:rsidRPr="004C3B8A">
        <w:rPr>
          <w:color w:val="323232"/>
          <w:vertAlign w:val="superscript"/>
        </w:rPr>
        <w:t>o&lt;(sup&gt; 21), 29-60. </w:t>
      </w:r>
      <w:r w:rsidRPr="004C3B8A">
        <w:rPr>
          <w:color w:val="323232"/>
          <w:vertAlign w:val="superscript"/>
        </w:rPr>
        <w:fldChar w:fldCharType="begin"/>
      </w:r>
      <w:r w:rsidRPr="004C3B8A">
        <w:rPr>
          <w:color w:val="323232"/>
          <w:vertAlign w:val="superscript"/>
        </w:rPr>
        <w:instrText xml:space="preserve"> HYPERLINK "https://doi.org/10.3917/rai.021.0029" </w:instrText>
      </w:r>
      <w:r w:rsidRPr="004C3B8A">
        <w:rPr>
          <w:color w:val="323232"/>
          <w:vertAlign w:val="superscript"/>
        </w:rPr>
        <w:fldChar w:fldCharType="separate"/>
      </w:r>
      <w:r w:rsidRPr="004C3B8A">
        <w:rPr>
          <w:color w:val="0000FF"/>
          <w:u w:val="single"/>
          <w:vertAlign w:val="superscript"/>
        </w:rPr>
        <w:t>https://doi.org/10.3917/rai.021.0029</w:t>
      </w:r>
      <w:r w:rsidRPr="004C3B8A">
        <w:rPr>
          <w:color w:val="323232"/>
          <w:vertAlign w:val="superscript"/>
        </w:rPr>
        <w:fldChar w:fldCharType="end"/>
      </w:r>
    </w:p>
  </w:footnote>
  <w:footnote w:id="8">
    <w:p w14:paraId="6757237C" w14:textId="3160DE56"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9">
    <w:p w14:paraId="43C5E063" w14:textId="7D149DAE" w:rsidR="004C3B8A" w:rsidRPr="004C3B8A" w:rsidRDefault="004C3B8A">
      <w:pPr>
        <w:pStyle w:val="Notedebasdepage"/>
        <w:rPr>
          <w:lang w:val="fr-FR"/>
        </w:rPr>
      </w:pPr>
      <w:r>
        <w:rPr>
          <w:rStyle w:val="Appelnotedebasdep"/>
        </w:rPr>
        <w:footnoteRef/>
      </w:r>
      <w:r>
        <w:t xml:space="preserve"> </w:t>
      </w:r>
      <w:proofErr w:type="spellStart"/>
      <w:proofErr w:type="gramStart"/>
      <w:r>
        <w:rPr>
          <w:lang w:val="fr-FR"/>
        </w:rPr>
        <w:t>ibid</w:t>
      </w:r>
      <w:proofErr w:type="spellEnd"/>
      <w:proofErr w:type="gramEnd"/>
    </w:p>
  </w:footnote>
  <w:footnote w:id="10">
    <w:p w14:paraId="524AA215" w14:textId="367199F4" w:rsidR="004C3B8A" w:rsidRPr="004C3B8A" w:rsidRDefault="004C3B8A" w:rsidP="004C3B8A">
      <w:pPr>
        <w:spacing w:line="360" w:lineRule="auto"/>
        <w:jc w:val="both"/>
      </w:pPr>
      <w:r>
        <w:rPr>
          <w:rStyle w:val="Appelnotedebasdep"/>
        </w:rPr>
        <w:footnoteRef/>
      </w:r>
      <w:r>
        <w:t xml:space="preserve"> </w:t>
      </w:r>
      <w:proofErr w:type="spellStart"/>
      <w:r w:rsidRPr="004C3B8A">
        <w:rPr>
          <w:color w:val="323232"/>
        </w:rPr>
        <w:t>Mbembe</w:t>
      </w:r>
      <w:proofErr w:type="spellEnd"/>
      <w:r w:rsidRPr="004C3B8A">
        <w:rPr>
          <w:color w:val="323232"/>
          <w:shd w:val="clear" w:color="auto" w:fill="FFFFFF"/>
        </w:rPr>
        <w:t xml:space="preserve">, A. (2006). </w:t>
      </w:r>
      <w:proofErr w:type="spellStart"/>
      <w:r w:rsidRPr="004C3B8A">
        <w:rPr>
          <w:color w:val="323232"/>
          <w:shd w:val="clear" w:color="auto" w:fill="FFFFFF"/>
        </w:rPr>
        <w:t>Nécropolitique</w:t>
      </w:r>
      <w:proofErr w:type="spellEnd"/>
      <w:r w:rsidRPr="004C3B8A">
        <w:rPr>
          <w:color w:val="323232"/>
          <w:shd w:val="clear" w:color="auto" w:fill="FFFFFF"/>
        </w:rPr>
        <w:t>. </w:t>
      </w:r>
      <w:r w:rsidRPr="004C3B8A">
        <w:rPr>
          <w:i/>
          <w:iCs/>
          <w:color w:val="323232"/>
        </w:rPr>
        <w:t>Raisons politiques</w:t>
      </w:r>
      <w:r w:rsidRPr="004C3B8A">
        <w:rPr>
          <w:color w:val="323232"/>
          <w:shd w:val="clear" w:color="auto" w:fill="FFFFFF"/>
        </w:rPr>
        <w:t>, n</w:t>
      </w:r>
      <w:r w:rsidRPr="004C3B8A">
        <w:rPr>
          <w:color w:val="323232"/>
          <w:vertAlign w:val="superscript"/>
        </w:rPr>
        <w:t>o&lt;(sup&gt; 21), 29-60. </w:t>
      </w:r>
      <w:hyperlink r:id="rId1" w:history="1">
        <w:r w:rsidRPr="004C3B8A">
          <w:rPr>
            <w:color w:val="0000FF"/>
            <w:u w:val="single"/>
            <w:vertAlign w:val="superscript"/>
          </w:rPr>
          <w:t>https://doi.org/10.3917/rai.021.0029</w:t>
        </w:r>
      </w:hyperlink>
    </w:p>
  </w:footnote>
  <w:footnote w:id="11">
    <w:p w14:paraId="345BCC9A" w14:textId="74BDF51F"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12">
    <w:p w14:paraId="12D00792" w14:textId="73BDF506"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13">
    <w:p w14:paraId="676C76B1" w14:textId="038A1CE8"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14">
    <w:p w14:paraId="0E9FB69B" w14:textId="77777777" w:rsidR="004C3B8A" w:rsidRPr="004C3B8A" w:rsidRDefault="004C3B8A" w:rsidP="004C3B8A">
      <w:r>
        <w:rPr>
          <w:rStyle w:val="Appelnotedebasdep"/>
        </w:rPr>
        <w:footnoteRef/>
      </w:r>
      <w:r>
        <w:t xml:space="preserve"> </w:t>
      </w:r>
      <w:r w:rsidRPr="004C3B8A">
        <w:rPr>
          <w:color w:val="323232"/>
        </w:rPr>
        <w:t>Blaise</w:t>
      </w:r>
      <w:r w:rsidRPr="004C3B8A">
        <w:rPr>
          <w:color w:val="323232"/>
          <w:shd w:val="clear" w:color="auto" w:fill="FFFFFF"/>
        </w:rPr>
        <w:t>, P. &amp; </w:t>
      </w:r>
      <w:r w:rsidRPr="004C3B8A">
        <w:rPr>
          <w:color w:val="323232"/>
        </w:rPr>
        <w:t>Martens</w:t>
      </w:r>
      <w:r w:rsidRPr="004C3B8A">
        <w:rPr>
          <w:color w:val="323232"/>
          <w:shd w:val="clear" w:color="auto" w:fill="FFFFFF"/>
        </w:rPr>
        <w:t>, A. (1992). Des immigrés à intégrer: Choix politiques et modalités institutionnelles. </w:t>
      </w:r>
      <w:r w:rsidRPr="004C3B8A">
        <w:rPr>
          <w:i/>
          <w:iCs/>
          <w:color w:val="323232"/>
        </w:rPr>
        <w:t>Courrier hebdomadaire du CRISP</w:t>
      </w:r>
      <w:r w:rsidRPr="004C3B8A">
        <w:rPr>
          <w:color w:val="323232"/>
          <w:shd w:val="clear" w:color="auto" w:fill="FFFFFF"/>
        </w:rPr>
        <w:t>, 1358-1359, 1-72. </w:t>
      </w:r>
      <w:hyperlink r:id="rId2" w:history="1">
        <w:r w:rsidRPr="004C3B8A">
          <w:rPr>
            <w:color w:val="0000FF"/>
            <w:u w:val="single"/>
          </w:rPr>
          <w:t>https://doi.org/10.3917/cris.1358.0001</w:t>
        </w:r>
      </w:hyperlink>
    </w:p>
    <w:p w14:paraId="271A5313" w14:textId="202D0904" w:rsidR="004C3B8A" w:rsidRPr="004C3B8A" w:rsidRDefault="004C3B8A">
      <w:pPr>
        <w:pStyle w:val="Notedebasdepage"/>
        <w:rPr>
          <w:lang w:val="fr-FR"/>
        </w:rPr>
      </w:pPr>
    </w:p>
  </w:footnote>
  <w:footnote w:id="15">
    <w:p w14:paraId="50E7BA14" w14:textId="045EC49B" w:rsidR="004C3B8A" w:rsidRPr="004C3B8A" w:rsidRDefault="004C3B8A" w:rsidP="004C3B8A">
      <w:r>
        <w:rPr>
          <w:rStyle w:val="Appelnotedebasdep"/>
        </w:rPr>
        <w:footnoteRef/>
      </w:r>
      <w:r>
        <w:t xml:space="preserve"> </w:t>
      </w:r>
      <w:proofErr w:type="spellStart"/>
      <w:r>
        <w:rPr>
          <w:color w:val="323232"/>
        </w:rPr>
        <w:t>Ibid</w:t>
      </w:r>
      <w:proofErr w:type="spellEnd"/>
    </w:p>
    <w:p w14:paraId="74BE2257" w14:textId="64DA743E" w:rsidR="004C3B8A" w:rsidRPr="004C3B8A" w:rsidRDefault="004C3B8A">
      <w:pPr>
        <w:pStyle w:val="Notedebasdepage"/>
        <w:rPr>
          <w:lang w:val="fr-FR"/>
        </w:rPr>
      </w:pPr>
    </w:p>
  </w:footnote>
  <w:footnote w:id="16">
    <w:p w14:paraId="7E8382B7" w14:textId="77777777" w:rsidR="004C3B8A" w:rsidRPr="004C3B8A" w:rsidRDefault="004C3B8A" w:rsidP="004C3B8A">
      <w:r>
        <w:rPr>
          <w:rStyle w:val="Appelnotedebasdep"/>
        </w:rPr>
        <w:footnoteRef/>
      </w:r>
      <w:r>
        <w:t xml:space="preserve"> </w:t>
      </w:r>
      <w:r w:rsidRPr="004C3B8A">
        <w:rPr>
          <w:color w:val="323232"/>
        </w:rPr>
        <w:t>Blaise</w:t>
      </w:r>
      <w:r w:rsidRPr="004C3B8A">
        <w:rPr>
          <w:color w:val="323232"/>
          <w:shd w:val="clear" w:color="auto" w:fill="FFFFFF"/>
        </w:rPr>
        <w:t>, P. &amp; </w:t>
      </w:r>
      <w:r w:rsidRPr="004C3B8A">
        <w:rPr>
          <w:color w:val="323232"/>
        </w:rPr>
        <w:t>Martens</w:t>
      </w:r>
      <w:r w:rsidRPr="004C3B8A">
        <w:rPr>
          <w:color w:val="323232"/>
          <w:shd w:val="clear" w:color="auto" w:fill="FFFFFF"/>
        </w:rPr>
        <w:t>, A. (1992). Des immigrés à intégrer: Choix politiques et modalités institutionnelles. </w:t>
      </w:r>
      <w:r w:rsidRPr="004C3B8A">
        <w:rPr>
          <w:i/>
          <w:iCs/>
          <w:color w:val="323232"/>
        </w:rPr>
        <w:t>Courrier hebdomadaire du CRISP</w:t>
      </w:r>
      <w:r w:rsidRPr="004C3B8A">
        <w:rPr>
          <w:color w:val="323232"/>
          <w:shd w:val="clear" w:color="auto" w:fill="FFFFFF"/>
        </w:rPr>
        <w:t>, 1358-1359, 1-72. </w:t>
      </w:r>
      <w:hyperlink r:id="rId3" w:history="1">
        <w:r w:rsidRPr="004C3B8A">
          <w:rPr>
            <w:color w:val="0000FF"/>
            <w:u w:val="single"/>
          </w:rPr>
          <w:t>https://doi.org/10.3917/cris.1358.0001</w:t>
        </w:r>
      </w:hyperlink>
    </w:p>
    <w:p w14:paraId="52E76BA6" w14:textId="163A9B8F" w:rsidR="004C3B8A" w:rsidRPr="004C3B8A" w:rsidRDefault="004C3B8A">
      <w:pPr>
        <w:pStyle w:val="Notedebasdepage"/>
        <w:rPr>
          <w:lang w:val="fr-FR"/>
        </w:rPr>
      </w:pPr>
    </w:p>
  </w:footnote>
  <w:footnote w:id="17">
    <w:p w14:paraId="6E8781EC" w14:textId="474F71E5"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18">
    <w:p w14:paraId="7147DB14" w14:textId="0C8C815A" w:rsidR="004C3B8A" w:rsidRPr="004C3B8A" w:rsidRDefault="004C3B8A">
      <w:pPr>
        <w:pStyle w:val="Notedebasdepage"/>
        <w:rPr>
          <w:lang w:val="fr-FR"/>
        </w:rPr>
      </w:pPr>
      <w:r>
        <w:rPr>
          <w:rStyle w:val="Appelnotedebasdep"/>
        </w:rPr>
        <w:footnoteRef/>
      </w:r>
      <w:r>
        <w:t xml:space="preserve"> </w:t>
      </w:r>
      <w:proofErr w:type="spellStart"/>
      <w:r>
        <w:rPr>
          <w:lang w:val="fr-FR"/>
        </w:rPr>
        <w:t>Ibid</w:t>
      </w:r>
      <w:proofErr w:type="spellEnd"/>
    </w:p>
  </w:footnote>
  <w:footnote w:id="19">
    <w:p w14:paraId="237AC3BD" w14:textId="07354032" w:rsidR="00635E2D" w:rsidRPr="00635E2D" w:rsidRDefault="00635E2D">
      <w:pPr>
        <w:pStyle w:val="Notedebasdepage"/>
        <w:rPr>
          <w:lang w:val="fr-FR"/>
        </w:rPr>
      </w:pPr>
      <w:r>
        <w:rPr>
          <w:rStyle w:val="Appelnotedebasdep"/>
        </w:rPr>
        <w:footnoteRef/>
      </w:r>
      <w:r>
        <w:t xml:space="preserve"> </w:t>
      </w:r>
      <w:r>
        <w:rPr>
          <w:lang w:val="fr-FR"/>
        </w:rPr>
        <w:t xml:space="preserve">Maes, E., Prison belge : quelques chiffres, </w:t>
      </w:r>
      <w:r w:rsidRPr="00635E2D">
        <w:rPr>
          <w:lang w:val="fr-FR"/>
        </w:rPr>
        <w:t>https://www.researchgate.net/publication/274064602_Prisons_belges_quelques_chiffres</w:t>
      </w:r>
    </w:p>
  </w:footnote>
  <w:footnote w:id="20">
    <w:p w14:paraId="2CDF3D08" w14:textId="77777777" w:rsidR="00635E2D" w:rsidRPr="006159BE" w:rsidRDefault="00635E2D" w:rsidP="00635E2D">
      <w:pPr>
        <w:pStyle w:val="NormalWeb"/>
        <w:spacing w:before="0" w:beforeAutospacing="0" w:after="0" w:afterAutospacing="0" w:line="360" w:lineRule="auto"/>
        <w:jc w:val="both"/>
        <w:rPr>
          <w:color w:val="000000"/>
        </w:rPr>
      </w:pPr>
      <w:r>
        <w:rPr>
          <w:rStyle w:val="Appelnotedebasdep"/>
        </w:rPr>
        <w:footnoteRef/>
      </w:r>
      <w:r>
        <w:t xml:space="preserve"> </w:t>
      </w:r>
      <w:r w:rsidRPr="006159BE">
        <w:rPr>
          <w:color w:val="000000"/>
        </w:rPr>
        <w:t>Vander Elst, M. (2021, 9 septembre).</w:t>
      </w:r>
      <w:r w:rsidRPr="006159BE">
        <w:rPr>
          <w:rStyle w:val="apple-converted-space"/>
          <w:color w:val="000000"/>
        </w:rPr>
        <w:t> </w:t>
      </w:r>
      <w:r w:rsidRPr="006159BE">
        <w:rPr>
          <w:i/>
          <w:iCs/>
          <w:color w:val="000000"/>
        </w:rPr>
        <w:t>Au cœur de l’impunité : les techniques policières d’interpellation</w:t>
      </w:r>
      <w:r w:rsidRPr="006159BE">
        <w:rPr>
          <w:color w:val="000000"/>
        </w:rPr>
        <w:t>. Jeunes organisés et combatifs. https://joc.be/au-coeur-de-limpunite-les-techniques-policieres-dinterpellation/</w:t>
      </w:r>
    </w:p>
    <w:p w14:paraId="7D4EE05C" w14:textId="0B352ACF" w:rsidR="00635E2D" w:rsidRPr="00635E2D" w:rsidRDefault="00635E2D">
      <w:pPr>
        <w:pStyle w:val="Notedebasdepage"/>
      </w:pPr>
    </w:p>
  </w:footnote>
  <w:footnote w:id="21">
    <w:p w14:paraId="4E92FB57" w14:textId="77777777" w:rsidR="00635E2D" w:rsidRPr="006159BE" w:rsidRDefault="00635E2D" w:rsidP="00635E2D">
      <w:pPr>
        <w:pStyle w:val="NormalWeb"/>
        <w:spacing w:before="0" w:beforeAutospacing="0" w:after="0" w:afterAutospacing="0" w:line="360" w:lineRule="auto"/>
        <w:jc w:val="both"/>
        <w:rPr>
          <w:color w:val="000000"/>
        </w:rPr>
      </w:pPr>
      <w:r>
        <w:rPr>
          <w:rStyle w:val="Appelnotedebasdep"/>
        </w:rPr>
        <w:footnoteRef/>
      </w:r>
      <w:r>
        <w:t xml:space="preserve"> </w:t>
      </w:r>
      <w:proofErr w:type="spellStart"/>
      <w:r w:rsidRPr="006159BE">
        <w:rPr>
          <w:color w:val="000000"/>
        </w:rPr>
        <w:t>Jamar</w:t>
      </w:r>
      <w:proofErr w:type="spellEnd"/>
      <w:r w:rsidRPr="006159BE">
        <w:rPr>
          <w:color w:val="000000"/>
        </w:rPr>
        <w:t>, D. (2021, 14 octobre).</w:t>
      </w:r>
      <w:r w:rsidRPr="006159BE">
        <w:rPr>
          <w:rStyle w:val="apple-converted-space"/>
          <w:color w:val="000000"/>
        </w:rPr>
        <w:t> </w:t>
      </w:r>
      <w:r w:rsidRPr="006159BE">
        <w:rPr>
          <w:i/>
          <w:iCs/>
          <w:color w:val="000000"/>
        </w:rPr>
        <w:t>Moïse Lamine Bangoura : Innocence raciale et négrophobie judiciaire.</w:t>
      </w:r>
      <w:r w:rsidRPr="006159BE">
        <w:rPr>
          <w:rStyle w:val="apple-converted-space"/>
          <w:color w:val="000000"/>
        </w:rPr>
        <w:t> </w:t>
      </w:r>
      <w:r w:rsidRPr="006159BE">
        <w:rPr>
          <w:color w:val="000000"/>
        </w:rPr>
        <w:t>Centre de formation pour le développement et la solidarité internationale. http://www.iteco.be/revue-antipodes/de-la-decolonisation-prelude/article/moise-lamine-bangoura-innocence-raciale-et-negrophobie-judiciaire</w:t>
      </w:r>
    </w:p>
    <w:p w14:paraId="0D96D291" w14:textId="77C114C4" w:rsidR="00635E2D" w:rsidRPr="00635E2D" w:rsidRDefault="00635E2D">
      <w:pPr>
        <w:pStyle w:val="Notedebasdepage"/>
        <w:rPr>
          <w:lang w:val="fr-FR"/>
        </w:rPr>
      </w:pPr>
    </w:p>
  </w:footnote>
  <w:footnote w:id="22">
    <w:p w14:paraId="16C565B7" w14:textId="77777777" w:rsidR="004718C5" w:rsidRPr="004718C5" w:rsidRDefault="004718C5" w:rsidP="004718C5">
      <w:r>
        <w:rPr>
          <w:rStyle w:val="Appelnotedebasdep"/>
        </w:rPr>
        <w:footnoteRef/>
      </w:r>
      <w:r>
        <w:t xml:space="preserve"> </w:t>
      </w:r>
      <w:r w:rsidRPr="004718C5">
        <w:rPr>
          <w:rFonts w:ascii="Arial" w:hAnsi="Arial" w:cs="Arial"/>
          <w:sz w:val="20"/>
          <w:szCs w:val="20"/>
          <w:bdr w:val="none" w:sz="0" w:space="0" w:color="auto" w:frame="1"/>
        </w:rPr>
        <w:t xml:space="preserve">Pierre Gilbert. (2020, avril 16). Le Covid-19, la guerre et les quartiers </w:t>
      </w:r>
      <w:proofErr w:type="spellStart"/>
      <w:r w:rsidRPr="004718C5">
        <w:rPr>
          <w:rFonts w:ascii="Arial" w:hAnsi="Arial" w:cs="Arial"/>
          <w:sz w:val="20"/>
          <w:szCs w:val="20"/>
          <w:bdr w:val="none" w:sz="0" w:space="0" w:color="auto" w:frame="1"/>
        </w:rPr>
        <w:t>populairesConsulté</w:t>
      </w:r>
      <w:proofErr w:type="spellEnd"/>
      <w:r w:rsidRPr="004718C5">
        <w:rPr>
          <w:rFonts w:ascii="Arial" w:hAnsi="Arial" w:cs="Arial"/>
          <w:sz w:val="20"/>
          <w:szCs w:val="20"/>
          <w:bdr w:val="none" w:sz="0" w:space="0" w:color="auto" w:frame="1"/>
        </w:rPr>
        <w:t xml:space="preserve"> à l’adresse https://www.lesinrocks.com/2016/05/29/actualite/actualite/violences-policieres-lobjectif-nest-plus-de-repousser-groupe-de-blesser-individus</w:t>
      </w:r>
    </w:p>
    <w:p w14:paraId="27249860" w14:textId="2DDBE2F1" w:rsidR="004718C5" w:rsidRPr="004718C5" w:rsidRDefault="004718C5">
      <w:pPr>
        <w:pStyle w:val="Notedebasdepage"/>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76A7C"/>
    <w:multiLevelType w:val="multilevel"/>
    <w:tmpl w:val="B70AB0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2E0EDB"/>
    <w:multiLevelType w:val="multilevel"/>
    <w:tmpl w:val="255A3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A060DCC"/>
    <w:multiLevelType w:val="multilevel"/>
    <w:tmpl w:val="E0A6E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55D7906"/>
    <w:multiLevelType w:val="hybridMultilevel"/>
    <w:tmpl w:val="C36A3C64"/>
    <w:lvl w:ilvl="0" w:tplc="5EE27674">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3F112472"/>
    <w:multiLevelType w:val="multilevel"/>
    <w:tmpl w:val="E0D265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E8134E6"/>
    <w:multiLevelType w:val="hybridMultilevel"/>
    <w:tmpl w:val="7EA28ED0"/>
    <w:lvl w:ilvl="0" w:tplc="AF3C26F8">
      <w:numFmt w:val="bullet"/>
      <w:lvlText w:val="-"/>
      <w:lvlJc w:val="left"/>
      <w:pPr>
        <w:ind w:left="720" w:hanging="360"/>
      </w:pPr>
      <w:rPr>
        <w:rFonts w:ascii="Times" w:eastAsiaTheme="minorHAnsi" w:hAnsi="Time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458179675">
    <w:abstractNumId w:val="4"/>
  </w:num>
  <w:num w:numId="2" w16cid:durableId="1825703449">
    <w:abstractNumId w:val="1"/>
  </w:num>
  <w:num w:numId="3" w16cid:durableId="460072809">
    <w:abstractNumId w:val="2"/>
  </w:num>
  <w:num w:numId="4" w16cid:durableId="366608473">
    <w:abstractNumId w:val="0"/>
  </w:num>
  <w:num w:numId="5" w16cid:durableId="92671388">
    <w:abstractNumId w:val="5"/>
  </w:num>
  <w:num w:numId="6" w16cid:durableId="14003264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3803"/>
    <w:rsid w:val="00023803"/>
    <w:rsid w:val="0020731C"/>
    <w:rsid w:val="0038353E"/>
    <w:rsid w:val="003E4F01"/>
    <w:rsid w:val="004718C5"/>
    <w:rsid w:val="004C3B8A"/>
    <w:rsid w:val="004D7AA1"/>
    <w:rsid w:val="00553461"/>
    <w:rsid w:val="006159BE"/>
    <w:rsid w:val="00635E2D"/>
    <w:rsid w:val="007746C7"/>
    <w:rsid w:val="007F4EC5"/>
    <w:rsid w:val="00AE3EDB"/>
    <w:rsid w:val="00B90F01"/>
    <w:rsid w:val="00D74007"/>
    <w:rsid w:val="00DB0B4A"/>
    <w:rsid w:val="00DC3E21"/>
    <w:rsid w:val="00E023A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4:docId w14:val="214C30D1"/>
  <w15:chartTrackingRefBased/>
  <w15:docId w15:val="{A35077B3-36BD-0440-9868-7C28A48F3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fr-BE" w:eastAsia="en-US" w:bidi="ar-SA"/>
      </w:rPr>
    </w:rPrDefault>
    <w:pPrDefault>
      <w:pPr>
        <w:spacing w:before="100" w:beforeAutospacing="1" w:after="100" w:afterAutospacing="1"/>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718C5"/>
    <w:pPr>
      <w:spacing w:before="0" w:beforeAutospacing="0" w:after="0" w:afterAutospacing="0"/>
    </w:pPr>
    <w:rPr>
      <w:rFonts w:ascii="Times New Roman" w:eastAsia="Times New Roman" w:hAnsi="Times New Roman" w:cs="Times New Roman"/>
      <w:lang w:eastAsia="fr-FR"/>
    </w:rPr>
  </w:style>
  <w:style w:type="paragraph" w:styleId="Titre1">
    <w:name w:val="heading 1"/>
    <w:basedOn w:val="Normal"/>
    <w:next w:val="Normal"/>
    <w:link w:val="Titre1Car"/>
    <w:uiPriority w:val="9"/>
    <w:qFormat/>
    <w:rsid w:val="00D74007"/>
    <w:pPr>
      <w:keepNext/>
      <w:keepLines/>
      <w:spacing w:before="240" w:line="276" w:lineRule="auto"/>
      <w:outlineLvl w:val="0"/>
    </w:pPr>
    <w:rPr>
      <w:rFonts w:asciiTheme="majorHAnsi" w:eastAsiaTheme="majorEastAsia" w:hAnsiTheme="majorHAnsi" w:cstheme="majorBidi"/>
      <w:color w:val="2F5496" w:themeColor="accent1" w:themeShade="BF"/>
      <w:sz w:val="32"/>
      <w:szCs w:val="3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023803"/>
    <w:pPr>
      <w:spacing w:before="0" w:beforeAutospacing="0" w:after="0" w:afterAutospacing="0"/>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acen-tte">
    <w:name w:val="Fac en-tête"/>
    <w:basedOn w:val="Normal"/>
    <w:uiPriority w:val="99"/>
    <w:rsid w:val="00023803"/>
    <w:pPr>
      <w:widowControl w:val="0"/>
      <w:suppressAutoHyphens/>
      <w:autoSpaceDE w:val="0"/>
      <w:autoSpaceDN w:val="0"/>
      <w:adjustRightInd w:val="0"/>
      <w:spacing w:line="220" w:lineRule="atLeast"/>
      <w:textAlignment w:val="baseline"/>
    </w:pPr>
    <w:rPr>
      <w:rFonts w:ascii="Arial-BoldMT" w:eastAsia="MS Mincho" w:hAnsi="Arial-BoldMT" w:cs="Arial-BoldMT"/>
      <w:b/>
      <w:bCs/>
      <w:color w:val="000075"/>
      <w:sz w:val="18"/>
      <w:szCs w:val="18"/>
      <w:lang w:val="en-US"/>
    </w:rPr>
  </w:style>
  <w:style w:type="character" w:customStyle="1" w:styleId="apple-converted-space">
    <w:name w:val="apple-converted-space"/>
    <w:basedOn w:val="Policepardfaut"/>
    <w:rsid w:val="0038353E"/>
  </w:style>
  <w:style w:type="character" w:styleId="Accentuation">
    <w:name w:val="Emphasis"/>
    <w:basedOn w:val="Policepardfaut"/>
    <w:uiPriority w:val="20"/>
    <w:qFormat/>
    <w:rsid w:val="0038353E"/>
    <w:rPr>
      <w:i/>
      <w:iCs/>
    </w:rPr>
  </w:style>
  <w:style w:type="paragraph" w:customStyle="1" w:styleId="ap-storytext">
    <w:name w:val="ap-storytext"/>
    <w:basedOn w:val="Normal"/>
    <w:rsid w:val="0038353E"/>
    <w:pPr>
      <w:spacing w:before="100" w:beforeAutospacing="1" w:after="100" w:afterAutospacing="1"/>
    </w:pPr>
  </w:style>
  <w:style w:type="paragraph" w:styleId="NormalWeb">
    <w:name w:val="Normal (Web)"/>
    <w:basedOn w:val="Normal"/>
    <w:uiPriority w:val="99"/>
    <w:semiHidden/>
    <w:unhideWhenUsed/>
    <w:rsid w:val="0038353E"/>
    <w:pPr>
      <w:spacing w:before="100" w:beforeAutospacing="1" w:after="100" w:afterAutospacing="1"/>
    </w:pPr>
  </w:style>
  <w:style w:type="character" w:styleId="Lienhypertexte">
    <w:name w:val="Hyperlink"/>
    <w:basedOn w:val="Policepardfaut"/>
    <w:uiPriority w:val="99"/>
    <w:unhideWhenUsed/>
    <w:rsid w:val="0038353E"/>
    <w:rPr>
      <w:color w:val="0000FF"/>
      <w:u w:val="single"/>
    </w:rPr>
  </w:style>
  <w:style w:type="paragraph" w:styleId="Paragraphedeliste">
    <w:name w:val="List Paragraph"/>
    <w:basedOn w:val="Normal"/>
    <w:uiPriority w:val="34"/>
    <w:qFormat/>
    <w:rsid w:val="0038353E"/>
    <w:pPr>
      <w:spacing w:before="100" w:beforeAutospacing="1" w:after="100" w:afterAutospacing="1"/>
      <w:ind w:left="720"/>
      <w:contextualSpacing/>
    </w:pPr>
    <w:rPr>
      <w:rFonts w:asciiTheme="minorHAnsi" w:eastAsiaTheme="minorHAnsi" w:hAnsiTheme="minorHAnsi" w:cstheme="minorBidi"/>
      <w:lang w:eastAsia="en-US"/>
    </w:rPr>
  </w:style>
  <w:style w:type="character" w:styleId="Mentionnonrsolue">
    <w:name w:val="Unresolved Mention"/>
    <w:basedOn w:val="Policepardfaut"/>
    <w:uiPriority w:val="99"/>
    <w:semiHidden/>
    <w:unhideWhenUsed/>
    <w:rsid w:val="0038353E"/>
    <w:rPr>
      <w:color w:val="605E5C"/>
      <w:shd w:val="clear" w:color="auto" w:fill="E1DFDD"/>
    </w:rPr>
  </w:style>
  <w:style w:type="character" w:customStyle="1" w:styleId="uppercase">
    <w:name w:val="uppercase"/>
    <w:basedOn w:val="Policepardfaut"/>
    <w:rsid w:val="0038353E"/>
  </w:style>
  <w:style w:type="character" w:customStyle="1" w:styleId="highlight">
    <w:name w:val="highlight"/>
    <w:basedOn w:val="Policepardfaut"/>
    <w:rsid w:val="007746C7"/>
  </w:style>
  <w:style w:type="paragraph" w:styleId="TM1">
    <w:name w:val="toc 1"/>
    <w:basedOn w:val="Normal"/>
    <w:next w:val="Normal"/>
    <w:autoRedefine/>
    <w:uiPriority w:val="39"/>
    <w:unhideWhenUsed/>
    <w:rsid w:val="00D74007"/>
    <w:pPr>
      <w:spacing w:before="120"/>
    </w:pPr>
    <w:rPr>
      <w:rFonts w:asciiTheme="minorHAnsi" w:hAnsiTheme="minorHAnsi" w:cstheme="minorHAnsi"/>
      <w:b/>
      <w:bCs/>
      <w:i/>
      <w:iCs/>
    </w:rPr>
  </w:style>
  <w:style w:type="paragraph" w:styleId="TM2">
    <w:name w:val="toc 2"/>
    <w:basedOn w:val="Normal"/>
    <w:next w:val="Normal"/>
    <w:autoRedefine/>
    <w:uiPriority w:val="39"/>
    <w:unhideWhenUsed/>
    <w:rsid w:val="00D74007"/>
    <w:pPr>
      <w:spacing w:before="120"/>
      <w:ind w:left="240"/>
    </w:pPr>
    <w:rPr>
      <w:rFonts w:asciiTheme="minorHAnsi" w:hAnsiTheme="minorHAnsi" w:cstheme="minorHAnsi"/>
      <w:b/>
      <w:bCs/>
      <w:sz w:val="22"/>
      <w:szCs w:val="22"/>
    </w:rPr>
  </w:style>
  <w:style w:type="paragraph" w:styleId="TM3">
    <w:name w:val="toc 3"/>
    <w:basedOn w:val="Normal"/>
    <w:next w:val="Normal"/>
    <w:autoRedefine/>
    <w:uiPriority w:val="39"/>
    <w:unhideWhenUsed/>
    <w:rsid w:val="00D74007"/>
    <w:pPr>
      <w:ind w:left="480"/>
    </w:pPr>
    <w:rPr>
      <w:rFonts w:asciiTheme="minorHAnsi" w:hAnsiTheme="minorHAnsi" w:cstheme="minorHAnsi"/>
      <w:sz w:val="20"/>
      <w:szCs w:val="20"/>
    </w:rPr>
  </w:style>
  <w:style w:type="paragraph" w:styleId="TM4">
    <w:name w:val="toc 4"/>
    <w:basedOn w:val="Normal"/>
    <w:next w:val="Normal"/>
    <w:autoRedefine/>
    <w:uiPriority w:val="39"/>
    <w:unhideWhenUsed/>
    <w:rsid w:val="00D74007"/>
    <w:pPr>
      <w:ind w:left="720"/>
    </w:pPr>
    <w:rPr>
      <w:rFonts w:asciiTheme="minorHAnsi" w:hAnsiTheme="minorHAnsi" w:cstheme="minorHAnsi"/>
      <w:sz w:val="20"/>
      <w:szCs w:val="20"/>
    </w:rPr>
  </w:style>
  <w:style w:type="paragraph" w:styleId="TM5">
    <w:name w:val="toc 5"/>
    <w:basedOn w:val="Normal"/>
    <w:next w:val="Normal"/>
    <w:autoRedefine/>
    <w:uiPriority w:val="39"/>
    <w:unhideWhenUsed/>
    <w:rsid w:val="00D74007"/>
    <w:pPr>
      <w:ind w:left="960"/>
    </w:pPr>
    <w:rPr>
      <w:rFonts w:asciiTheme="minorHAnsi" w:hAnsiTheme="minorHAnsi" w:cstheme="minorHAnsi"/>
      <w:sz w:val="20"/>
      <w:szCs w:val="20"/>
    </w:rPr>
  </w:style>
  <w:style w:type="paragraph" w:styleId="TM6">
    <w:name w:val="toc 6"/>
    <w:basedOn w:val="Normal"/>
    <w:next w:val="Normal"/>
    <w:autoRedefine/>
    <w:uiPriority w:val="39"/>
    <w:unhideWhenUsed/>
    <w:rsid w:val="00D74007"/>
    <w:pPr>
      <w:ind w:left="1200"/>
    </w:pPr>
    <w:rPr>
      <w:rFonts w:asciiTheme="minorHAnsi" w:hAnsiTheme="minorHAnsi" w:cstheme="minorHAnsi"/>
      <w:sz w:val="20"/>
      <w:szCs w:val="20"/>
    </w:rPr>
  </w:style>
  <w:style w:type="paragraph" w:styleId="TM7">
    <w:name w:val="toc 7"/>
    <w:basedOn w:val="Normal"/>
    <w:next w:val="Normal"/>
    <w:autoRedefine/>
    <w:uiPriority w:val="39"/>
    <w:unhideWhenUsed/>
    <w:rsid w:val="00D74007"/>
    <w:pPr>
      <w:ind w:left="1440"/>
    </w:pPr>
    <w:rPr>
      <w:rFonts w:asciiTheme="minorHAnsi" w:hAnsiTheme="minorHAnsi" w:cstheme="minorHAnsi"/>
      <w:sz w:val="20"/>
      <w:szCs w:val="20"/>
    </w:rPr>
  </w:style>
  <w:style w:type="paragraph" w:styleId="TM8">
    <w:name w:val="toc 8"/>
    <w:basedOn w:val="Normal"/>
    <w:next w:val="Normal"/>
    <w:autoRedefine/>
    <w:uiPriority w:val="39"/>
    <w:unhideWhenUsed/>
    <w:rsid w:val="00D74007"/>
    <w:pPr>
      <w:ind w:left="1680"/>
    </w:pPr>
    <w:rPr>
      <w:rFonts w:asciiTheme="minorHAnsi" w:hAnsiTheme="minorHAnsi" w:cstheme="minorHAnsi"/>
      <w:sz w:val="20"/>
      <w:szCs w:val="20"/>
    </w:rPr>
  </w:style>
  <w:style w:type="paragraph" w:styleId="TM9">
    <w:name w:val="toc 9"/>
    <w:basedOn w:val="Normal"/>
    <w:next w:val="Normal"/>
    <w:autoRedefine/>
    <w:uiPriority w:val="39"/>
    <w:unhideWhenUsed/>
    <w:rsid w:val="00D74007"/>
    <w:pPr>
      <w:ind w:left="1920"/>
    </w:pPr>
    <w:rPr>
      <w:rFonts w:asciiTheme="minorHAnsi" w:hAnsiTheme="minorHAnsi" w:cstheme="minorHAnsi"/>
      <w:sz w:val="20"/>
      <w:szCs w:val="20"/>
    </w:rPr>
  </w:style>
  <w:style w:type="character" w:customStyle="1" w:styleId="Titre1Car">
    <w:name w:val="Titre 1 Car"/>
    <w:basedOn w:val="Policepardfaut"/>
    <w:link w:val="Titre1"/>
    <w:uiPriority w:val="9"/>
    <w:rsid w:val="00D74007"/>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D74007"/>
    <w:pPr>
      <w:spacing w:before="480"/>
      <w:outlineLvl w:val="9"/>
    </w:pPr>
    <w:rPr>
      <w:b/>
      <w:bCs/>
      <w:sz w:val="28"/>
      <w:szCs w:val="28"/>
      <w:lang w:eastAsia="fr-FR"/>
    </w:rPr>
  </w:style>
  <w:style w:type="paragraph" w:styleId="Pieddepage">
    <w:name w:val="footer"/>
    <w:basedOn w:val="Normal"/>
    <w:link w:val="PieddepageCar"/>
    <w:uiPriority w:val="99"/>
    <w:unhideWhenUsed/>
    <w:rsid w:val="00B90F01"/>
    <w:pPr>
      <w:tabs>
        <w:tab w:val="center" w:pos="4536"/>
        <w:tab w:val="right" w:pos="9072"/>
      </w:tabs>
    </w:pPr>
    <w:rPr>
      <w:rFonts w:asciiTheme="minorHAnsi" w:eastAsiaTheme="minorHAnsi" w:hAnsiTheme="minorHAnsi" w:cstheme="minorBidi"/>
      <w:sz w:val="22"/>
      <w:szCs w:val="22"/>
      <w:lang w:eastAsia="en-US"/>
    </w:rPr>
  </w:style>
  <w:style w:type="character" w:customStyle="1" w:styleId="PieddepageCar">
    <w:name w:val="Pied de page Car"/>
    <w:basedOn w:val="Policepardfaut"/>
    <w:link w:val="Pieddepage"/>
    <w:uiPriority w:val="99"/>
    <w:rsid w:val="00B90F01"/>
    <w:rPr>
      <w:sz w:val="22"/>
      <w:szCs w:val="22"/>
    </w:rPr>
  </w:style>
  <w:style w:type="character" w:styleId="Numrodepage">
    <w:name w:val="page number"/>
    <w:basedOn w:val="Policepardfaut"/>
    <w:uiPriority w:val="99"/>
    <w:semiHidden/>
    <w:unhideWhenUsed/>
    <w:rsid w:val="00B90F01"/>
  </w:style>
  <w:style w:type="paragraph" w:styleId="En-tte">
    <w:name w:val="header"/>
    <w:basedOn w:val="Normal"/>
    <w:link w:val="En-tteCar"/>
    <w:uiPriority w:val="99"/>
    <w:unhideWhenUsed/>
    <w:rsid w:val="00B90F01"/>
    <w:pPr>
      <w:tabs>
        <w:tab w:val="center" w:pos="4536"/>
        <w:tab w:val="right" w:pos="9072"/>
      </w:tabs>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B90F01"/>
    <w:rPr>
      <w:sz w:val="22"/>
      <w:szCs w:val="22"/>
    </w:rPr>
  </w:style>
  <w:style w:type="paragraph" w:styleId="Notedebasdepage">
    <w:name w:val="footnote text"/>
    <w:basedOn w:val="Normal"/>
    <w:link w:val="NotedebasdepageCar"/>
    <w:uiPriority w:val="99"/>
    <w:semiHidden/>
    <w:unhideWhenUsed/>
    <w:rsid w:val="00DB0B4A"/>
    <w:rPr>
      <w:rFonts w:asciiTheme="minorHAnsi" w:eastAsiaTheme="minorHAnsi" w:hAnsiTheme="minorHAnsi" w:cstheme="minorBidi"/>
      <w:sz w:val="20"/>
      <w:szCs w:val="20"/>
      <w:lang w:eastAsia="en-US"/>
    </w:rPr>
  </w:style>
  <w:style w:type="character" w:customStyle="1" w:styleId="NotedebasdepageCar">
    <w:name w:val="Note de bas de page Car"/>
    <w:basedOn w:val="Policepardfaut"/>
    <w:link w:val="Notedebasdepage"/>
    <w:uiPriority w:val="99"/>
    <w:semiHidden/>
    <w:rsid w:val="00DB0B4A"/>
    <w:rPr>
      <w:sz w:val="20"/>
      <w:szCs w:val="20"/>
    </w:rPr>
  </w:style>
  <w:style w:type="character" w:styleId="Appelnotedebasdep">
    <w:name w:val="footnote reference"/>
    <w:basedOn w:val="Policepardfaut"/>
    <w:uiPriority w:val="99"/>
    <w:semiHidden/>
    <w:unhideWhenUsed/>
    <w:rsid w:val="00DB0B4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8295">
      <w:bodyDiv w:val="1"/>
      <w:marLeft w:val="0"/>
      <w:marRight w:val="0"/>
      <w:marTop w:val="0"/>
      <w:marBottom w:val="0"/>
      <w:divBdr>
        <w:top w:val="none" w:sz="0" w:space="0" w:color="auto"/>
        <w:left w:val="none" w:sz="0" w:space="0" w:color="auto"/>
        <w:bottom w:val="none" w:sz="0" w:space="0" w:color="auto"/>
        <w:right w:val="none" w:sz="0" w:space="0" w:color="auto"/>
      </w:divBdr>
    </w:div>
    <w:div w:id="89275155">
      <w:bodyDiv w:val="1"/>
      <w:marLeft w:val="0"/>
      <w:marRight w:val="0"/>
      <w:marTop w:val="0"/>
      <w:marBottom w:val="0"/>
      <w:divBdr>
        <w:top w:val="none" w:sz="0" w:space="0" w:color="auto"/>
        <w:left w:val="none" w:sz="0" w:space="0" w:color="auto"/>
        <w:bottom w:val="none" w:sz="0" w:space="0" w:color="auto"/>
        <w:right w:val="none" w:sz="0" w:space="0" w:color="auto"/>
      </w:divBdr>
    </w:div>
    <w:div w:id="93595737">
      <w:bodyDiv w:val="1"/>
      <w:marLeft w:val="0"/>
      <w:marRight w:val="0"/>
      <w:marTop w:val="0"/>
      <w:marBottom w:val="0"/>
      <w:divBdr>
        <w:top w:val="none" w:sz="0" w:space="0" w:color="auto"/>
        <w:left w:val="none" w:sz="0" w:space="0" w:color="auto"/>
        <w:bottom w:val="none" w:sz="0" w:space="0" w:color="auto"/>
        <w:right w:val="none" w:sz="0" w:space="0" w:color="auto"/>
      </w:divBdr>
    </w:div>
    <w:div w:id="730230001">
      <w:bodyDiv w:val="1"/>
      <w:marLeft w:val="0"/>
      <w:marRight w:val="0"/>
      <w:marTop w:val="0"/>
      <w:marBottom w:val="0"/>
      <w:divBdr>
        <w:top w:val="none" w:sz="0" w:space="0" w:color="auto"/>
        <w:left w:val="none" w:sz="0" w:space="0" w:color="auto"/>
        <w:bottom w:val="none" w:sz="0" w:space="0" w:color="auto"/>
        <w:right w:val="none" w:sz="0" w:space="0" w:color="auto"/>
      </w:divBdr>
    </w:div>
    <w:div w:id="865798490">
      <w:bodyDiv w:val="1"/>
      <w:marLeft w:val="0"/>
      <w:marRight w:val="0"/>
      <w:marTop w:val="0"/>
      <w:marBottom w:val="0"/>
      <w:divBdr>
        <w:top w:val="none" w:sz="0" w:space="0" w:color="auto"/>
        <w:left w:val="none" w:sz="0" w:space="0" w:color="auto"/>
        <w:bottom w:val="none" w:sz="0" w:space="0" w:color="auto"/>
        <w:right w:val="none" w:sz="0" w:space="0" w:color="auto"/>
      </w:divBdr>
    </w:div>
    <w:div w:id="957834106">
      <w:bodyDiv w:val="1"/>
      <w:marLeft w:val="0"/>
      <w:marRight w:val="0"/>
      <w:marTop w:val="0"/>
      <w:marBottom w:val="0"/>
      <w:divBdr>
        <w:top w:val="none" w:sz="0" w:space="0" w:color="auto"/>
        <w:left w:val="none" w:sz="0" w:space="0" w:color="auto"/>
        <w:bottom w:val="none" w:sz="0" w:space="0" w:color="auto"/>
        <w:right w:val="none" w:sz="0" w:space="0" w:color="auto"/>
      </w:divBdr>
    </w:div>
    <w:div w:id="18609257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3917/dec.fassi.2012.03.0455" TargetMode="External"/><Relationship Id="rId18" Type="http://schemas.openxmlformats.org/officeDocument/2006/relationships/hyperlink" Target="https://www.revolutionpermanente.fr/31-decembre-des-helicopteres"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s://doi.org/10.3917/dec.fassi.2006.02.0211" TargetMode="External"/><Relationship Id="rId17" Type="http://schemas.openxmlformats.org/officeDocument/2006/relationships/hyperlink" Target="https://doi.org/10.3917/cris.1358.0001" TargetMode="External"/><Relationship Id="rId2" Type="http://schemas.openxmlformats.org/officeDocument/2006/relationships/numbering" Target="numbering.xml"/><Relationship Id="rId16" Type="http://schemas.openxmlformats.org/officeDocument/2006/relationships/hyperlink" Target="https://doi.org/10.3917/rai.021.0029"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3917/dec.slaou.2020.01.0041" TargetMode="External"/><Relationship Id="rId5" Type="http://schemas.openxmlformats.org/officeDocument/2006/relationships/webSettings" Target="webSettings.xml"/><Relationship Id="rId15" Type="http://schemas.openxmlformats.org/officeDocument/2006/relationships/hyperlink" Target="https://doi.org/10.3917/brux.048.0223" TargetMode="External"/><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yperlink" Target="https://www.michelbouffioux.be/2018/12/mawda-la-contre-enquete.html" TargetMode="External"/><Relationship Id="rId4" Type="http://schemas.openxmlformats.org/officeDocument/2006/relationships/settings" Target="settings.xml"/><Relationship Id="rId9" Type="http://schemas.openxmlformats.org/officeDocument/2006/relationships/hyperlink" Target="http://www.ucl.ac.be/etudes/libres/fr/rg370.html" TargetMode="External"/><Relationship Id="rId14" Type="http://schemas.openxmlformats.org/officeDocument/2006/relationships/hyperlink" Target="https://doi.org/10.3917/rn.183.0031"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doi.org/10.3917/cris.1358.0001" TargetMode="External"/><Relationship Id="rId2" Type="http://schemas.openxmlformats.org/officeDocument/2006/relationships/hyperlink" Target="https://doi.org/10.3917/cris.1358.0001" TargetMode="External"/><Relationship Id="rId1" Type="http://schemas.openxmlformats.org/officeDocument/2006/relationships/hyperlink" Target="https://doi.org/10.3917/rai.021.002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871BD2-2ADD-4F44-BD2D-62F19237F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7632</Words>
  <Characters>42053</Characters>
  <Application>Microsoft Office Word</Application>
  <DocSecurity>0</DocSecurity>
  <Lines>584</Lines>
  <Paragraphs>71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49614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Eléonore Offermans</dc:creator>
  <cp:keywords/>
  <dc:description/>
  <cp:lastModifiedBy>Eléonore Offermans</cp:lastModifiedBy>
  <cp:revision>2</cp:revision>
  <dcterms:created xsi:type="dcterms:W3CDTF">2022-08-16T21:58:00Z</dcterms:created>
  <dcterms:modified xsi:type="dcterms:W3CDTF">2022-08-16T21:58:00Z</dcterms:modified>
</cp:coreProperties>
</file>