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72B717" w14:textId="77777777" w:rsidR="009F2261" w:rsidRDefault="009F2261" w:rsidP="00545D33">
      <w:pPr>
        <w:jc w:val="center"/>
        <w:rPr>
          <w:rFonts w:ascii="Times New Roman" w:hAnsi="Times New Roman" w:cs="Times New Roman"/>
          <w:smallCaps/>
          <w:sz w:val="28"/>
          <w:szCs w:val="28"/>
          <w:u w:val="single"/>
        </w:rPr>
      </w:pPr>
    </w:p>
    <w:p w14:paraId="34E6DB93" w14:textId="77777777" w:rsidR="009F2261" w:rsidRDefault="009F2261" w:rsidP="00545D33">
      <w:pPr>
        <w:jc w:val="center"/>
        <w:rPr>
          <w:rFonts w:ascii="Times New Roman" w:hAnsi="Times New Roman" w:cs="Times New Roman"/>
          <w:smallCaps/>
          <w:sz w:val="28"/>
          <w:szCs w:val="28"/>
          <w:u w:val="single"/>
        </w:rPr>
      </w:pPr>
      <w:bookmarkStart w:id="0" w:name="_GoBack"/>
      <w:bookmarkEnd w:id="0"/>
    </w:p>
    <w:p w14:paraId="178277BD" w14:textId="77777777" w:rsidR="009F2261" w:rsidRDefault="009F2261" w:rsidP="00545D33">
      <w:pPr>
        <w:jc w:val="center"/>
        <w:rPr>
          <w:rFonts w:ascii="Times New Roman" w:hAnsi="Times New Roman" w:cs="Times New Roman"/>
          <w:smallCaps/>
          <w:sz w:val="28"/>
          <w:szCs w:val="28"/>
          <w:u w:val="single"/>
        </w:rPr>
      </w:pPr>
    </w:p>
    <w:p w14:paraId="03383F44" w14:textId="46F0AC89" w:rsidR="009F2261" w:rsidRPr="009F2261" w:rsidRDefault="009F2261" w:rsidP="009F2261">
      <w:pPr>
        <w:pBdr>
          <w:top w:val="single" w:sz="4" w:space="1" w:color="auto"/>
          <w:left w:val="single" w:sz="4" w:space="4" w:color="auto"/>
          <w:bottom w:val="single" w:sz="4" w:space="1" w:color="auto"/>
          <w:right w:val="single" w:sz="4" w:space="4" w:color="auto"/>
        </w:pBdr>
        <w:jc w:val="center"/>
        <w:rPr>
          <w:rFonts w:ascii="Times New Roman" w:hAnsi="Times New Roman" w:cs="Times New Roman"/>
          <w:smallCaps/>
          <w:sz w:val="40"/>
          <w:szCs w:val="40"/>
        </w:rPr>
      </w:pPr>
      <w:r w:rsidRPr="009F2261">
        <w:rPr>
          <w:rFonts w:ascii="Times New Roman" w:hAnsi="Times New Roman" w:cs="Times New Roman"/>
          <w:smallCaps/>
          <w:sz w:val="40"/>
          <w:szCs w:val="40"/>
        </w:rPr>
        <w:t>Le protectionnisme déguisé au sein de l’Organisation Mondiale du Commerce dans sa composante environnementale</w:t>
      </w:r>
    </w:p>
    <w:p w14:paraId="1FDFD09F" w14:textId="77777777" w:rsidR="009F2261" w:rsidRDefault="009F2261" w:rsidP="00545D33">
      <w:pPr>
        <w:jc w:val="center"/>
        <w:rPr>
          <w:rFonts w:ascii="Times New Roman" w:hAnsi="Times New Roman" w:cs="Times New Roman"/>
          <w:smallCaps/>
          <w:sz w:val="28"/>
          <w:szCs w:val="28"/>
          <w:u w:val="single"/>
        </w:rPr>
      </w:pPr>
    </w:p>
    <w:p w14:paraId="68533117" w14:textId="77777777" w:rsidR="009F2261" w:rsidRDefault="009F2261" w:rsidP="00545D33">
      <w:pPr>
        <w:jc w:val="center"/>
        <w:rPr>
          <w:rFonts w:ascii="Times New Roman" w:hAnsi="Times New Roman" w:cs="Times New Roman"/>
          <w:smallCaps/>
          <w:sz w:val="28"/>
          <w:szCs w:val="28"/>
          <w:u w:val="single"/>
        </w:rPr>
      </w:pPr>
    </w:p>
    <w:p w14:paraId="5A8F1B37" w14:textId="77777777" w:rsidR="009F2261" w:rsidRDefault="009F2261" w:rsidP="00545D33">
      <w:pPr>
        <w:jc w:val="center"/>
        <w:rPr>
          <w:rFonts w:ascii="Times New Roman" w:hAnsi="Times New Roman" w:cs="Times New Roman"/>
          <w:smallCaps/>
          <w:sz w:val="28"/>
          <w:szCs w:val="28"/>
          <w:u w:val="single"/>
        </w:rPr>
      </w:pPr>
    </w:p>
    <w:p w14:paraId="3F140158" w14:textId="77777777" w:rsidR="009F2261" w:rsidRDefault="009F2261" w:rsidP="00545D33">
      <w:pPr>
        <w:jc w:val="center"/>
        <w:rPr>
          <w:rFonts w:ascii="Times New Roman" w:hAnsi="Times New Roman" w:cs="Times New Roman"/>
          <w:smallCaps/>
          <w:sz w:val="28"/>
          <w:szCs w:val="28"/>
          <w:u w:val="single"/>
        </w:rPr>
      </w:pPr>
    </w:p>
    <w:p w14:paraId="7D846A2D" w14:textId="77777777" w:rsidR="009F2261" w:rsidRDefault="009F2261" w:rsidP="00545D33">
      <w:pPr>
        <w:jc w:val="center"/>
        <w:rPr>
          <w:rFonts w:ascii="Times New Roman" w:hAnsi="Times New Roman" w:cs="Times New Roman"/>
          <w:smallCaps/>
          <w:sz w:val="28"/>
          <w:szCs w:val="28"/>
          <w:u w:val="single"/>
        </w:rPr>
      </w:pPr>
    </w:p>
    <w:p w14:paraId="5BEA3F0D" w14:textId="3CB527EA" w:rsidR="009F2261" w:rsidRDefault="001F76CA" w:rsidP="00545D33">
      <w:pPr>
        <w:jc w:val="center"/>
        <w:rPr>
          <w:rFonts w:ascii="Times New Roman" w:hAnsi="Times New Roman" w:cs="Times New Roman"/>
          <w:smallCaps/>
          <w:sz w:val="28"/>
          <w:szCs w:val="28"/>
          <w:u w:val="single"/>
        </w:rPr>
      </w:pPr>
      <w:r>
        <w:rPr>
          <w:rFonts w:ascii="Arial" w:hAnsi="Arial" w:cs="Arial"/>
          <w:noProof/>
          <w:color w:val="520087"/>
          <w:sz w:val="26"/>
          <w:szCs w:val="26"/>
        </w:rPr>
        <w:drawing>
          <wp:inline distT="0" distB="0" distL="0" distR="0" wp14:anchorId="18DF558D" wp14:editId="1EDDC401">
            <wp:extent cx="2297430" cy="2754630"/>
            <wp:effectExtent l="0" t="0" r="0" b="0"/>
            <wp:docPr id="2" name="Image 2">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97430" cy="2754630"/>
                    </a:xfrm>
                    <a:prstGeom prst="rect">
                      <a:avLst/>
                    </a:prstGeom>
                    <a:noFill/>
                    <a:ln>
                      <a:noFill/>
                    </a:ln>
                  </pic:spPr>
                </pic:pic>
              </a:graphicData>
            </a:graphic>
          </wp:inline>
        </w:drawing>
      </w:r>
    </w:p>
    <w:p w14:paraId="4481B58E" w14:textId="77777777" w:rsidR="009F2261" w:rsidRDefault="009F2261" w:rsidP="00545D33">
      <w:pPr>
        <w:jc w:val="center"/>
        <w:rPr>
          <w:rFonts w:ascii="Times New Roman" w:hAnsi="Times New Roman" w:cs="Times New Roman"/>
          <w:smallCaps/>
          <w:sz w:val="28"/>
          <w:szCs w:val="28"/>
          <w:u w:val="single"/>
        </w:rPr>
      </w:pPr>
    </w:p>
    <w:p w14:paraId="3F1EEEA3" w14:textId="77777777" w:rsidR="009F2261" w:rsidRDefault="009F2261" w:rsidP="00545D33">
      <w:pPr>
        <w:jc w:val="center"/>
        <w:rPr>
          <w:rFonts w:ascii="Times New Roman" w:hAnsi="Times New Roman" w:cs="Times New Roman"/>
          <w:smallCaps/>
          <w:sz w:val="28"/>
          <w:szCs w:val="28"/>
          <w:u w:val="single"/>
        </w:rPr>
      </w:pPr>
    </w:p>
    <w:p w14:paraId="796739A1" w14:textId="77777777" w:rsidR="009F2261" w:rsidRDefault="009F2261" w:rsidP="001F76CA">
      <w:pPr>
        <w:rPr>
          <w:rFonts w:ascii="Times New Roman" w:hAnsi="Times New Roman" w:cs="Times New Roman"/>
          <w:smallCaps/>
          <w:sz w:val="28"/>
          <w:szCs w:val="28"/>
          <w:u w:val="single"/>
        </w:rPr>
      </w:pPr>
    </w:p>
    <w:p w14:paraId="081AE0C9" w14:textId="77777777" w:rsidR="009F2261" w:rsidRDefault="009F2261" w:rsidP="00545D33">
      <w:pPr>
        <w:jc w:val="center"/>
        <w:rPr>
          <w:rFonts w:ascii="Times New Roman" w:hAnsi="Times New Roman" w:cs="Times New Roman"/>
          <w:smallCaps/>
          <w:sz w:val="28"/>
          <w:szCs w:val="28"/>
          <w:u w:val="single"/>
        </w:rPr>
      </w:pPr>
    </w:p>
    <w:p w14:paraId="0A2E25E9" w14:textId="77777777" w:rsidR="009F2261" w:rsidRDefault="009F2261" w:rsidP="00545D33">
      <w:pPr>
        <w:jc w:val="center"/>
        <w:rPr>
          <w:rFonts w:ascii="Times New Roman" w:hAnsi="Times New Roman" w:cs="Times New Roman"/>
          <w:smallCaps/>
          <w:sz w:val="28"/>
          <w:szCs w:val="28"/>
          <w:u w:val="single"/>
        </w:rPr>
      </w:pPr>
    </w:p>
    <w:p w14:paraId="2771198A" w14:textId="77777777" w:rsidR="009F2261" w:rsidRDefault="009F2261" w:rsidP="00545D33">
      <w:pPr>
        <w:jc w:val="center"/>
        <w:rPr>
          <w:rFonts w:ascii="Times New Roman" w:hAnsi="Times New Roman" w:cs="Times New Roman"/>
          <w:smallCaps/>
          <w:sz w:val="28"/>
          <w:szCs w:val="28"/>
          <w:u w:val="single"/>
        </w:rPr>
      </w:pPr>
    </w:p>
    <w:p w14:paraId="38ED77F5" w14:textId="77777777" w:rsidR="009F2261" w:rsidRDefault="009F2261" w:rsidP="00545D33">
      <w:pPr>
        <w:jc w:val="center"/>
        <w:rPr>
          <w:rFonts w:ascii="Times New Roman" w:hAnsi="Times New Roman" w:cs="Times New Roman"/>
          <w:smallCaps/>
          <w:sz w:val="28"/>
          <w:szCs w:val="28"/>
          <w:u w:val="single"/>
        </w:rPr>
      </w:pPr>
    </w:p>
    <w:p w14:paraId="6E3A24E4" w14:textId="77777777" w:rsidR="009F2261" w:rsidRDefault="009F2261" w:rsidP="001F76CA">
      <w:pPr>
        <w:rPr>
          <w:rFonts w:ascii="Times New Roman" w:hAnsi="Times New Roman" w:cs="Times New Roman"/>
          <w:smallCaps/>
          <w:sz w:val="28"/>
          <w:szCs w:val="28"/>
          <w:u w:val="single"/>
        </w:rPr>
      </w:pPr>
    </w:p>
    <w:p w14:paraId="734C0FBD" w14:textId="1A059705" w:rsidR="009F2261" w:rsidRPr="001F76CA" w:rsidRDefault="001F76CA" w:rsidP="009F2261">
      <w:pPr>
        <w:tabs>
          <w:tab w:val="left" w:pos="6868"/>
        </w:tabs>
        <w:jc w:val="right"/>
        <w:rPr>
          <w:rFonts w:ascii="Times New Roman" w:hAnsi="Times New Roman" w:cs="Times New Roman"/>
          <w:sz w:val="28"/>
          <w:szCs w:val="28"/>
        </w:rPr>
      </w:pPr>
      <w:r>
        <w:rPr>
          <w:rFonts w:ascii="Times New Roman" w:hAnsi="Times New Roman" w:cs="Times New Roman"/>
          <w:sz w:val="28"/>
          <w:szCs w:val="28"/>
        </w:rPr>
        <w:t>Mémoire ré</w:t>
      </w:r>
      <w:r w:rsidR="009F2261" w:rsidRPr="001F76CA">
        <w:rPr>
          <w:rFonts w:ascii="Times New Roman" w:hAnsi="Times New Roman" w:cs="Times New Roman"/>
          <w:sz w:val="28"/>
          <w:szCs w:val="28"/>
        </w:rPr>
        <w:t xml:space="preserve">alisé par </w:t>
      </w:r>
    </w:p>
    <w:p w14:paraId="536099CE" w14:textId="4804AE69" w:rsidR="009F2261" w:rsidRPr="001F76CA" w:rsidRDefault="009F2261" w:rsidP="009F2261">
      <w:pPr>
        <w:tabs>
          <w:tab w:val="left" w:pos="6868"/>
        </w:tabs>
        <w:jc w:val="right"/>
        <w:rPr>
          <w:rFonts w:ascii="Times New Roman" w:hAnsi="Times New Roman" w:cs="Times New Roman"/>
          <w:b/>
          <w:sz w:val="28"/>
          <w:szCs w:val="28"/>
        </w:rPr>
      </w:pPr>
      <w:r w:rsidRPr="001F76CA">
        <w:rPr>
          <w:rFonts w:ascii="Times New Roman" w:hAnsi="Times New Roman" w:cs="Times New Roman"/>
          <w:b/>
          <w:sz w:val="28"/>
          <w:szCs w:val="28"/>
        </w:rPr>
        <w:t>Laura Jakobs</w:t>
      </w:r>
    </w:p>
    <w:p w14:paraId="76A3C995" w14:textId="77777777" w:rsidR="009F2261" w:rsidRPr="001F76CA" w:rsidRDefault="009F2261" w:rsidP="009F2261">
      <w:pPr>
        <w:tabs>
          <w:tab w:val="left" w:pos="6868"/>
        </w:tabs>
        <w:jc w:val="right"/>
        <w:rPr>
          <w:rFonts w:ascii="Times New Roman" w:hAnsi="Times New Roman" w:cs="Times New Roman"/>
          <w:sz w:val="28"/>
          <w:szCs w:val="28"/>
        </w:rPr>
      </w:pPr>
    </w:p>
    <w:p w14:paraId="693C33F4" w14:textId="77777777" w:rsidR="009F2261" w:rsidRPr="001F76CA" w:rsidRDefault="009F2261" w:rsidP="009F2261">
      <w:pPr>
        <w:tabs>
          <w:tab w:val="left" w:pos="6868"/>
        </w:tabs>
        <w:jc w:val="right"/>
        <w:rPr>
          <w:rFonts w:ascii="Times New Roman" w:hAnsi="Times New Roman" w:cs="Times New Roman"/>
          <w:sz w:val="28"/>
          <w:szCs w:val="28"/>
        </w:rPr>
      </w:pPr>
      <w:r w:rsidRPr="001F76CA">
        <w:rPr>
          <w:rFonts w:ascii="Times New Roman" w:hAnsi="Times New Roman" w:cs="Times New Roman"/>
          <w:sz w:val="28"/>
          <w:szCs w:val="28"/>
        </w:rPr>
        <w:t>Promoteur</w:t>
      </w:r>
    </w:p>
    <w:p w14:paraId="47A63F68" w14:textId="45A202A3" w:rsidR="009F2261" w:rsidRPr="001F76CA" w:rsidRDefault="009F2261" w:rsidP="009F2261">
      <w:pPr>
        <w:tabs>
          <w:tab w:val="left" w:pos="6868"/>
        </w:tabs>
        <w:jc w:val="right"/>
        <w:rPr>
          <w:rFonts w:ascii="Times New Roman" w:hAnsi="Times New Roman" w:cs="Times New Roman"/>
          <w:b/>
          <w:sz w:val="28"/>
          <w:szCs w:val="28"/>
        </w:rPr>
      </w:pPr>
      <w:r w:rsidRPr="001F76CA">
        <w:rPr>
          <w:rFonts w:ascii="Times New Roman" w:hAnsi="Times New Roman" w:cs="Times New Roman"/>
          <w:b/>
          <w:sz w:val="28"/>
          <w:szCs w:val="28"/>
        </w:rPr>
        <w:t xml:space="preserve">philippe coppens </w:t>
      </w:r>
    </w:p>
    <w:p w14:paraId="0479585C" w14:textId="77777777" w:rsidR="009F2261" w:rsidRPr="001F76CA" w:rsidRDefault="009F2261" w:rsidP="009F2261">
      <w:pPr>
        <w:tabs>
          <w:tab w:val="left" w:pos="6868"/>
        </w:tabs>
        <w:jc w:val="right"/>
        <w:rPr>
          <w:rFonts w:ascii="Times New Roman" w:hAnsi="Times New Roman" w:cs="Times New Roman"/>
          <w:sz w:val="28"/>
          <w:szCs w:val="28"/>
        </w:rPr>
      </w:pPr>
    </w:p>
    <w:p w14:paraId="3E3F8562" w14:textId="1CF9D7DC" w:rsidR="009F2261" w:rsidRPr="001F76CA" w:rsidRDefault="001F76CA" w:rsidP="009F2261">
      <w:pPr>
        <w:tabs>
          <w:tab w:val="left" w:pos="6868"/>
        </w:tabs>
        <w:jc w:val="right"/>
        <w:rPr>
          <w:rFonts w:ascii="Times New Roman" w:hAnsi="Times New Roman" w:cs="Times New Roman"/>
          <w:sz w:val="28"/>
          <w:szCs w:val="28"/>
        </w:rPr>
      </w:pPr>
      <w:r>
        <w:rPr>
          <w:rFonts w:ascii="Times New Roman" w:hAnsi="Times New Roman" w:cs="Times New Roman"/>
          <w:sz w:val="28"/>
          <w:szCs w:val="28"/>
        </w:rPr>
        <w:t>Anné</w:t>
      </w:r>
      <w:r w:rsidR="009F2261" w:rsidRPr="001F76CA">
        <w:rPr>
          <w:rFonts w:ascii="Times New Roman" w:hAnsi="Times New Roman" w:cs="Times New Roman"/>
          <w:sz w:val="28"/>
          <w:szCs w:val="28"/>
        </w:rPr>
        <w:t>e académique 2014-2015</w:t>
      </w:r>
    </w:p>
    <w:p w14:paraId="25ECD0C7" w14:textId="17E520B4" w:rsidR="009F2261" w:rsidRPr="001F76CA" w:rsidRDefault="009F2261" w:rsidP="009F2261">
      <w:pPr>
        <w:tabs>
          <w:tab w:val="left" w:pos="6868"/>
        </w:tabs>
        <w:jc w:val="right"/>
        <w:rPr>
          <w:rFonts w:ascii="Times New Roman" w:hAnsi="Times New Roman" w:cs="Times New Roman"/>
          <w:b/>
          <w:sz w:val="28"/>
          <w:szCs w:val="28"/>
        </w:rPr>
      </w:pPr>
      <w:r w:rsidRPr="001F76CA">
        <w:rPr>
          <w:rFonts w:ascii="Times New Roman" w:hAnsi="Times New Roman" w:cs="Times New Roman"/>
          <w:b/>
          <w:sz w:val="28"/>
          <w:szCs w:val="28"/>
        </w:rPr>
        <w:t>master en droit</w:t>
      </w:r>
    </w:p>
    <w:p w14:paraId="571A5B53" w14:textId="77777777" w:rsidR="009F2261" w:rsidRDefault="009F2261" w:rsidP="001F76CA">
      <w:pPr>
        <w:rPr>
          <w:rFonts w:ascii="Times New Roman" w:hAnsi="Times New Roman" w:cs="Times New Roman"/>
          <w:smallCaps/>
          <w:sz w:val="28"/>
          <w:szCs w:val="28"/>
          <w:u w:val="single"/>
        </w:rPr>
      </w:pPr>
    </w:p>
    <w:p w14:paraId="00F81DAB" w14:textId="77777777" w:rsidR="00545D33" w:rsidRPr="00210886" w:rsidRDefault="00545D33" w:rsidP="00545D33">
      <w:pPr>
        <w:jc w:val="center"/>
        <w:rPr>
          <w:rFonts w:ascii="Times New Roman" w:hAnsi="Times New Roman" w:cs="Times New Roman"/>
          <w:smallCaps/>
          <w:sz w:val="28"/>
          <w:szCs w:val="28"/>
          <w:u w:val="single"/>
        </w:rPr>
      </w:pPr>
      <w:r w:rsidRPr="00210886">
        <w:rPr>
          <w:rFonts w:ascii="Times New Roman" w:hAnsi="Times New Roman" w:cs="Times New Roman"/>
          <w:smallCaps/>
          <w:sz w:val="28"/>
          <w:szCs w:val="28"/>
          <w:u w:val="single"/>
        </w:rPr>
        <w:lastRenderedPageBreak/>
        <w:t>Table des matières</w:t>
      </w:r>
    </w:p>
    <w:p w14:paraId="4996D21B" w14:textId="77777777" w:rsidR="00545D33" w:rsidRPr="00210886" w:rsidRDefault="00545D33" w:rsidP="00545D33">
      <w:pPr>
        <w:rPr>
          <w:rFonts w:ascii="Times New Roman" w:hAnsi="Times New Roman" w:cs="Times New Roman"/>
          <w:smallCaps/>
        </w:rPr>
      </w:pPr>
    </w:p>
    <w:p w14:paraId="3A073D5D" w14:textId="77777777" w:rsidR="00545D33" w:rsidRPr="00F4739C" w:rsidRDefault="00545D33" w:rsidP="00105FCE">
      <w:pPr>
        <w:jc w:val="both"/>
        <w:rPr>
          <w:rFonts w:ascii="Times New Roman" w:hAnsi="Times New Roman" w:cs="Times New Roman"/>
          <w:smallCaps/>
          <w:sz w:val="28"/>
          <w:szCs w:val="28"/>
        </w:rPr>
      </w:pPr>
      <w:r w:rsidRPr="00F4739C">
        <w:rPr>
          <w:rFonts w:ascii="Times New Roman" w:hAnsi="Times New Roman" w:cs="Times New Roman"/>
          <w:smallCaps/>
          <w:sz w:val="28"/>
          <w:szCs w:val="28"/>
        </w:rPr>
        <w:t>introduction</w:t>
      </w:r>
    </w:p>
    <w:p w14:paraId="42C9D8C6" w14:textId="77777777" w:rsidR="00545D33" w:rsidRPr="00F4739C" w:rsidRDefault="00545D33" w:rsidP="00105FCE">
      <w:pPr>
        <w:jc w:val="both"/>
        <w:rPr>
          <w:rFonts w:ascii="Times New Roman" w:hAnsi="Times New Roman" w:cs="Times New Roman"/>
          <w:smallCaps/>
        </w:rPr>
      </w:pPr>
    </w:p>
    <w:p w14:paraId="548E026A" w14:textId="4C749CAF" w:rsidR="00545D33" w:rsidRPr="00F4739C" w:rsidRDefault="00545D33" w:rsidP="00105FCE">
      <w:pPr>
        <w:jc w:val="both"/>
        <w:rPr>
          <w:rFonts w:ascii="Times New Roman" w:hAnsi="Times New Roman" w:cs="Times New Roman"/>
          <w:smallCaps/>
          <w:sz w:val="28"/>
          <w:szCs w:val="28"/>
        </w:rPr>
      </w:pPr>
      <w:r w:rsidRPr="00F4739C">
        <w:rPr>
          <w:rFonts w:ascii="Times New Roman" w:hAnsi="Times New Roman" w:cs="Times New Roman"/>
          <w:smallCaps/>
          <w:sz w:val="28"/>
          <w:szCs w:val="28"/>
        </w:rPr>
        <w:t>titre I. Le protectionnisme et le libre-échange, deux objecti</w:t>
      </w:r>
      <w:r w:rsidR="00F4739C" w:rsidRPr="00F4739C">
        <w:rPr>
          <w:rFonts w:ascii="Times New Roman" w:hAnsi="Times New Roman" w:cs="Times New Roman"/>
          <w:smallCaps/>
          <w:sz w:val="28"/>
          <w:szCs w:val="28"/>
        </w:rPr>
        <w:t>fs antagonistes au sein de l’omc</w:t>
      </w:r>
      <w:r w:rsidRPr="00F4739C">
        <w:rPr>
          <w:rFonts w:ascii="Times New Roman" w:hAnsi="Times New Roman" w:cs="Times New Roman"/>
          <w:smallCaps/>
          <w:sz w:val="28"/>
          <w:szCs w:val="28"/>
        </w:rPr>
        <w:t> ?</w:t>
      </w:r>
      <w:r w:rsidR="001F76CA">
        <w:rPr>
          <w:rFonts w:ascii="Times New Roman" w:hAnsi="Times New Roman" w:cs="Times New Roman"/>
          <w:smallCaps/>
          <w:sz w:val="28"/>
          <w:szCs w:val="28"/>
        </w:rPr>
        <w:t xml:space="preserve"> ……………………………………………..4</w:t>
      </w:r>
    </w:p>
    <w:p w14:paraId="66FF7838" w14:textId="77777777" w:rsidR="00545D33" w:rsidRPr="00F4739C" w:rsidRDefault="00545D33" w:rsidP="00105FCE">
      <w:pPr>
        <w:jc w:val="both"/>
        <w:rPr>
          <w:rFonts w:ascii="Times New Roman" w:hAnsi="Times New Roman" w:cs="Times New Roman"/>
          <w:smallCaps/>
        </w:rPr>
      </w:pPr>
    </w:p>
    <w:p w14:paraId="71B3E2C5" w14:textId="77777777" w:rsidR="00545D33" w:rsidRPr="00F4739C" w:rsidRDefault="00545D33" w:rsidP="00105FCE">
      <w:pPr>
        <w:jc w:val="both"/>
        <w:rPr>
          <w:rFonts w:ascii="Times New Roman" w:hAnsi="Times New Roman" w:cs="Times New Roman"/>
          <w:smallCaps/>
        </w:rPr>
      </w:pPr>
      <w:r w:rsidRPr="00F4739C">
        <w:rPr>
          <w:rFonts w:ascii="Times New Roman" w:hAnsi="Times New Roman" w:cs="Times New Roman"/>
          <w:smallCaps/>
        </w:rPr>
        <w:tab/>
        <w:t>Chapitre I : La notion de mercantilisme</w:t>
      </w:r>
    </w:p>
    <w:p w14:paraId="1D0F8506" w14:textId="77777777" w:rsidR="00545D33" w:rsidRPr="00F4739C" w:rsidRDefault="00545D33" w:rsidP="00105FCE">
      <w:pPr>
        <w:jc w:val="both"/>
        <w:rPr>
          <w:rFonts w:ascii="Times New Roman" w:hAnsi="Times New Roman" w:cs="Times New Roman"/>
          <w:smallCaps/>
        </w:rPr>
      </w:pPr>
      <w:r w:rsidRPr="00F4739C">
        <w:rPr>
          <w:rFonts w:ascii="Times New Roman" w:hAnsi="Times New Roman" w:cs="Times New Roman"/>
          <w:smallCaps/>
        </w:rPr>
        <w:tab/>
        <w:t>Chapitre II : L’interaction entre le protectionnisme et le libre-échange</w:t>
      </w:r>
    </w:p>
    <w:p w14:paraId="776EE88E" w14:textId="77777777" w:rsidR="00545D33" w:rsidRPr="00F4739C" w:rsidRDefault="00545D33" w:rsidP="00105FCE">
      <w:pPr>
        <w:jc w:val="both"/>
        <w:rPr>
          <w:rFonts w:ascii="Times New Roman" w:hAnsi="Times New Roman" w:cs="Times New Roman"/>
          <w:smallCaps/>
        </w:rPr>
      </w:pPr>
      <w:r w:rsidRPr="00F4739C">
        <w:rPr>
          <w:rFonts w:ascii="Times New Roman" w:hAnsi="Times New Roman" w:cs="Times New Roman"/>
          <w:smallCaps/>
        </w:rPr>
        <w:tab/>
        <w:t>Cahpitre III : Le libre-echange</w:t>
      </w:r>
    </w:p>
    <w:p w14:paraId="74DC8452" w14:textId="34C290D7" w:rsidR="00545D33" w:rsidRPr="00F4739C" w:rsidRDefault="00545D33" w:rsidP="00105FCE">
      <w:pPr>
        <w:jc w:val="both"/>
        <w:rPr>
          <w:rFonts w:ascii="Times New Roman" w:hAnsi="Times New Roman" w:cs="Times New Roman"/>
          <w:smallCaps/>
        </w:rPr>
      </w:pPr>
      <w:r w:rsidRPr="00F4739C">
        <w:rPr>
          <w:rFonts w:ascii="Times New Roman" w:hAnsi="Times New Roman" w:cs="Times New Roman"/>
          <w:smallCaps/>
        </w:rPr>
        <w:tab/>
      </w:r>
      <w:r w:rsidRPr="00F4739C">
        <w:rPr>
          <w:rFonts w:ascii="Times New Roman" w:hAnsi="Times New Roman" w:cs="Times New Roman"/>
          <w:smallCaps/>
        </w:rPr>
        <w:tab/>
        <w:t>section 1 : l</w:t>
      </w:r>
      <w:r w:rsidR="00F4739C" w:rsidRPr="00F4739C">
        <w:rPr>
          <w:rFonts w:ascii="Times New Roman" w:hAnsi="Times New Roman" w:cs="Times New Roman"/>
          <w:smallCaps/>
        </w:rPr>
        <w:t>a libéraliation des échanges : h</w:t>
      </w:r>
      <w:r w:rsidRPr="00F4739C">
        <w:rPr>
          <w:rFonts w:ascii="Times New Roman" w:hAnsi="Times New Roman" w:cs="Times New Roman"/>
          <w:smallCaps/>
        </w:rPr>
        <w:t>istorique</w:t>
      </w:r>
    </w:p>
    <w:p w14:paraId="4ACD3DFE" w14:textId="77777777" w:rsidR="00545D33" w:rsidRPr="00F4739C" w:rsidRDefault="00545D33" w:rsidP="00105FCE">
      <w:pPr>
        <w:jc w:val="both"/>
        <w:rPr>
          <w:rFonts w:ascii="Times New Roman" w:hAnsi="Times New Roman" w:cs="Times New Roman"/>
          <w:smallCaps/>
        </w:rPr>
      </w:pPr>
      <w:r w:rsidRPr="00F4739C">
        <w:rPr>
          <w:rFonts w:ascii="Times New Roman" w:hAnsi="Times New Roman" w:cs="Times New Roman"/>
          <w:smallCaps/>
        </w:rPr>
        <w:tab/>
      </w:r>
      <w:r w:rsidRPr="00F4739C">
        <w:rPr>
          <w:rFonts w:ascii="Times New Roman" w:hAnsi="Times New Roman" w:cs="Times New Roman"/>
          <w:smallCaps/>
        </w:rPr>
        <w:tab/>
        <w:t>section 2 : les économistes en faveur du libre-échange</w:t>
      </w:r>
    </w:p>
    <w:p w14:paraId="3ED00B05" w14:textId="77777777" w:rsidR="00545D33" w:rsidRPr="00F4739C" w:rsidRDefault="00545D33" w:rsidP="00105FCE">
      <w:pPr>
        <w:jc w:val="both"/>
        <w:rPr>
          <w:rFonts w:ascii="Times New Roman" w:hAnsi="Times New Roman" w:cs="Times New Roman"/>
          <w:smallCaps/>
        </w:rPr>
      </w:pPr>
      <w:r w:rsidRPr="00F4739C">
        <w:rPr>
          <w:rFonts w:ascii="Times New Roman" w:hAnsi="Times New Roman" w:cs="Times New Roman"/>
          <w:smallCaps/>
        </w:rPr>
        <w:tab/>
      </w:r>
      <w:r w:rsidRPr="00F4739C">
        <w:rPr>
          <w:rFonts w:ascii="Times New Roman" w:hAnsi="Times New Roman" w:cs="Times New Roman"/>
          <w:smallCaps/>
        </w:rPr>
        <w:tab/>
      </w:r>
      <w:r w:rsidRPr="00F4739C">
        <w:rPr>
          <w:rFonts w:ascii="Times New Roman" w:hAnsi="Times New Roman" w:cs="Times New Roman"/>
          <w:smallCaps/>
        </w:rPr>
        <w:tab/>
        <w:t>sous-section 1 : Adam Smith</w:t>
      </w:r>
    </w:p>
    <w:p w14:paraId="4E439F2C" w14:textId="77777777" w:rsidR="00545D33" w:rsidRPr="00F4739C" w:rsidRDefault="00545D33" w:rsidP="00105FCE">
      <w:pPr>
        <w:jc w:val="both"/>
        <w:rPr>
          <w:rFonts w:ascii="Times New Roman" w:hAnsi="Times New Roman" w:cs="Times New Roman"/>
          <w:smallCaps/>
        </w:rPr>
      </w:pPr>
      <w:r w:rsidRPr="00F4739C">
        <w:rPr>
          <w:rFonts w:ascii="Times New Roman" w:hAnsi="Times New Roman" w:cs="Times New Roman"/>
          <w:smallCaps/>
        </w:rPr>
        <w:tab/>
      </w:r>
      <w:r w:rsidRPr="00F4739C">
        <w:rPr>
          <w:rFonts w:ascii="Times New Roman" w:hAnsi="Times New Roman" w:cs="Times New Roman"/>
          <w:smallCaps/>
        </w:rPr>
        <w:tab/>
      </w:r>
      <w:r w:rsidRPr="00F4739C">
        <w:rPr>
          <w:rFonts w:ascii="Times New Roman" w:hAnsi="Times New Roman" w:cs="Times New Roman"/>
          <w:smallCaps/>
        </w:rPr>
        <w:tab/>
      </w:r>
      <w:r w:rsidRPr="00F4739C">
        <w:rPr>
          <w:rFonts w:ascii="Times New Roman" w:hAnsi="Times New Roman" w:cs="Times New Roman"/>
          <w:smallCaps/>
        </w:rPr>
        <w:tab/>
      </w:r>
      <w:r w:rsidRPr="00F4739C">
        <w:rPr>
          <w:rFonts w:ascii="Times New Roman" w:hAnsi="Times New Roman" w:cs="Times New Roman"/>
          <w:smallCaps/>
        </w:rPr>
        <w:tab/>
      </w:r>
      <w:r w:rsidRPr="00F4739C">
        <w:rPr>
          <w:rFonts w:ascii="Times New Roman" w:hAnsi="Times New Roman" w:cs="Times New Roman"/>
          <w:smallCaps/>
        </w:rPr>
        <w:tab/>
        <w:t>a la main invisible</w:t>
      </w:r>
    </w:p>
    <w:p w14:paraId="133E4B74" w14:textId="77777777" w:rsidR="00545D33" w:rsidRPr="00F4739C" w:rsidRDefault="00545D33" w:rsidP="00105FCE">
      <w:pPr>
        <w:jc w:val="both"/>
        <w:rPr>
          <w:rFonts w:ascii="Times New Roman" w:hAnsi="Times New Roman" w:cs="Times New Roman"/>
          <w:smallCaps/>
        </w:rPr>
      </w:pPr>
      <w:r w:rsidRPr="00F4739C">
        <w:rPr>
          <w:rFonts w:ascii="Times New Roman" w:hAnsi="Times New Roman" w:cs="Times New Roman"/>
          <w:smallCaps/>
        </w:rPr>
        <w:tab/>
      </w:r>
      <w:r w:rsidRPr="00F4739C">
        <w:rPr>
          <w:rFonts w:ascii="Times New Roman" w:hAnsi="Times New Roman" w:cs="Times New Roman"/>
          <w:smallCaps/>
        </w:rPr>
        <w:tab/>
      </w:r>
      <w:r w:rsidRPr="00F4739C">
        <w:rPr>
          <w:rFonts w:ascii="Times New Roman" w:hAnsi="Times New Roman" w:cs="Times New Roman"/>
          <w:smallCaps/>
        </w:rPr>
        <w:tab/>
      </w:r>
      <w:r w:rsidRPr="00F4739C">
        <w:rPr>
          <w:rFonts w:ascii="Times New Roman" w:hAnsi="Times New Roman" w:cs="Times New Roman"/>
          <w:smallCaps/>
        </w:rPr>
        <w:tab/>
      </w:r>
      <w:r w:rsidRPr="00F4739C">
        <w:rPr>
          <w:rFonts w:ascii="Times New Roman" w:hAnsi="Times New Roman" w:cs="Times New Roman"/>
          <w:smallCaps/>
        </w:rPr>
        <w:tab/>
      </w:r>
      <w:r w:rsidRPr="00F4739C">
        <w:rPr>
          <w:rFonts w:ascii="Times New Roman" w:hAnsi="Times New Roman" w:cs="Times New Roman"/>
          <w:smallCaps/>
        </w:rPr>
        <w:tab/>
        <w:t>b. l’avantage absolu</w:t>
      </w:r>
    </w:p>
    <w:p w14:paraId="57E16D44" w14:textId="77777777" w:rsidR="00545D33" w:rsidRPr="00F4739C" w:rsidRDefault="00545D33" w:rsidP="00105FCE">
      <w:pPr>
        <w:jc w:val="both"/>
        <w:rPr>
          <w:rFonts w:ascii="Times New Roman" w:hAnsi="Times New Roman" w:cs="Times New Roman"/>
          <w:smallCaps/>
        </w:rPr>
      </w:pPr>
      <w:r w:rsidRPr="00F4739C">
        <w:rPr>
          <w:rFonts w:ascii="Times New Roman" w:hAnsi="Times New Roman" w:cs="Times New Roman"/>
          <w:smallCaps/>
        </w:rPr>
        <w:tab/>
      </w:r>
      <w:r w:rsidRPr="00F4739C">
        <w:rPr>
          <w:rFonts w:ascii="Times New Roman" w:hAnsi="Times New Roman" w:cs="Times New Roman"/>
          <w:smallCaps/>
        </w:rPr>
        <w:tab/>
      </w:r>
      <w:r w:rsidRPr="00F4739C">
        <w:rPr>
          <w:rFonts w:ascii="Times New Roman" w:hAnsi="Times New Roman" w:cs="Times New Roman"/>
          <w:smallCaps/>
        </w:rPr>
        <w:tab/>
        <w:t>sous-section 2 : David Ricardo et la théorie riacardienne</w:t>
      </w:r>
    </w:p>
    <w:p w14:paraId="7E29B885" w14:textId="77777777" w:rsidR="00545D33" w:rsidRPr="00F4739C" w:rsidRDefault="00545D33" w:rsidP="00105FCE">
      <w:pPr>
        <w:jc w:val="both"/>
        <w:rPr>
          <w:rFonts w:ascii="Times New Roman" w:hAnsi="Times New Roman" w:cs="Times New Roman"/>
          <w:smallCaps/>
        </w:rPr>
      </w:pPr>
    </w:p>
    <w:p w14:paraId="2198B8F5" w14:textId="77777777" w:rsidR="00545D33" w:rsidRPr="00F4739C" w:rsidRDefault="00545D33" w:rsidP="00105FCE">
      <w:pPr>
        <w:jc w:val="both"/>
        <w:rPr>
          <w:rFonts w:ascii="Times New Roman" w:hAnsi="Times New Roman" w:cs="Times New Roman"/>
          <w:smallCaps/>
        </w:rPr>
      </w:pPr>
      <w:r w:rsidRPr="00F4739C">
        <w:rPr>
          <w:rFonts w:ascii="Times New Roman" w:hAnsi="Times New Roman" w:cs="Times New Roman"/>
          <w:smallCaps/>
        </w:rPr>
        <w:tab/>
        <w:t>Chapitre IV : Le protectionnisme</w:t>
      </w:r>
    </w:p>
    <w:p w14:paraId="7AFC658B" w14:textId="2D2C06F3" w:rsidR="00545D33" w:rsidRPr="00F4739C" w:rsidRDefault="00F4739C" w:rsidP="00105FCE">
      <w:pPr>
        <w:jc w:val="both"/>
        <w:rPr>
          <w:rFonts w:ascii="Times New Roman" w:hAnsi="Times New Roman" w:cs="Times New Roman"/>
          <w:smallCaps/>
        </w:rPr>
      </w:pPr>
      <w:r w:rsidRPr="00F4739C">
        <w:rPr>
          <w:rFonts w:ascii="Times New Roman" w:hAnsi="Times New Roman" w:cs="Times New Roman"/>
          <w:smallCaps/>
        </w:rPr>
        <w:tab/>
      </w:r>
      <w:r w:rsidRPr="00F4739C">
        <w:rPr>
          <w:rFonts w:ascii="Times New Roman" w:hAnsi="Times New Roman" w:cs="Times New Roman"/>
          <w:smallCaps/>
        </w:rPr>
        <w:tab/>
        <w:t>section 1 : l</w:t>
      </w:r>
      <w:r w:rsidR="00545D33" w:rsidRPr="00F4739C">
        <w:rPr>
          <w:rFonts w:ascii="Times New Roman" w:hAnsi="Times New Roman" w:cs="Times New Roman"/>
          <w:smallCaps/>
        </w:rPr>
        <w:t>a notion de protectionnisme</w:t>
      </w:r>
    </w:p>
    <w:p w14:paraId="3FD07DD5" w14:textId="3A256794" w:rsidR="00545D33" w:rsidRPr="00F4739C" w:rsidRDefault="00F4739C" w:rsidP="00105FCE">
      <w:pPr>
        <w:jc w:val="both"/>
        <w:rPr>
          <w:rFonts w:ascii="Times New Roman" w:hAnsi="Times New Roman" w:cs="Times New Roman"/>
          <w:smallCaps/>
        </w:rPr>
      </w:pPr>
      <w:r w:rsidRPr="00F4739C">
        <w:rPr>
          <w:rFonts w:ascii="Times New Roman" w:hAnsi="Times New Roman" w:cs="Times New Roman"/>
          <w:smallCaps/>
        </w:rPr>
        <w:tab/>
      </w:r>
      <w:r w:rsidRPr="00F4739C">
        <w:rPr>
          <w:rFonts w:ascii="Times New Roman" w:hAnsi="Times New Roman" w:cs="Times New Roman"/>
          <w:smallCaps/>
        </w:rPr>
        <w:tab/>
        <w:t>section 2 : l</w:t>
      </w:r>
      <w:r w:rsidR="00545D33" w:rsidRPr="00F4739C">
        <w:rPr>
          <w:rFonts w:ascii="Times New Roman" w:hAnsi="Times New Roman" w:cs="Times New Roman"/>
          <w:smallCaps/>
        </w:rPr>
        <w:t>es diffférentes formes de protectionnisme</w:t>
      </w:r>
    </w:p>
    <w:p w14:paraId="3C78236E" w14:textId="43B2DFA0" w:rsidR="00545D33" w:rsidRPr="00F4739C" w:rsidRDefault="00F4739C" w:rsidP="00105FCE">
      <w:pPr>
        <w:jc w:val="both"/>
        <w:rPr>
          <w:rFonts w:ascii="Times New Roman" w:hAnsi="Times New Roman" w:cs="Times New Roman"/>
          <w:smallCaps/>
        </w:rPr>
      </w:pPr>
      <w:r w:rsidRPr="00F4739C">
        <w:rPr>
          <w:rFonts w:ascii="Times New Roman" w:hAnsi="Times New Roman" w:cs="Times New Roman"/>
          <w:smallCaps/>
        </w:rPr>
        <w:tab/>
      </w:r>
      <w:r w:rsidRPr="00F4739C">
        <w:rPr>
          <w:rFonts w:ascii="Times New Roman" w:hAnsi="Times New Roman" w:cs="Times New Roman"/>
          <w:smallCaps/>
        </w:rPr>
        <w:tab/>
        <w:t>section 3 : l</w:t>
      </w:r>
      <w:r w:rsidR="00545D33" w:rsidRPr="00F4739C">
        <w:rPr>
          <w:rFonts w:ascii="Times New Roman" w:hAnsi="Times New Roman" w:cs="Times New Roman"/>
          <w:smallCaps/>
        </w:rPr>
        <w:t>es effets du protectionnisme</w:t>
      </w:r>
    </w:p>
    <w:p w14:paraId="67F3FEA3" w14:textId="77777777" w:rsidR="00545D33" w:rsidRPr="00F4739C" w:rsidRDefault="00545D33" w:rsidP="00105FCE">
      <w:pPr>
        <w:jc w:val="both"/>
        <w:rPr>
          <w:rFonts w:ascii="Times New Roman" w:hAnsi="Times New Roman" w:cs="Times New Roman"/>
          <w:smallCaps/>
        </w:rPr>
      </w:pPr>
    </w:p>
    <w:p w14:paraId="167C9E97" w14:textId="77777777" w:rsidR="00545D33" w:rsidRPr="00F4739C" w:rsidRDefault="00545D33" w:rsidP="00105FCE">
      <w:pPr>
        <w:ind w:left="708"/>
        <w:jc w:val="both"/>
        <w:rPr>
          <w:rFonts w:ascii="Times New Roman" w:hAnsi="Times New Roman" w:cs="Times New Roman"/>
          <w:smallCaps/>
        </w:rPr>
      </w:pPr>
      <w:r w:rsidRPr="00F4739C">
        <w:rPr>
          <w:rFonts w:ascii="Times New Roman" w:hAnsi="Times New Roman" w:cs="Times New Roman"/>
          <w:smallCaps/>
        </w:rPr>
        <w:t>Chapitre V : Commerce et environnement dans la jurisprudence du GATT et de  l’OMC</w:t>
      </w:r>
    </w:p>
    <w:p w14:paraId="45DCC57F" w14:textId="77777777" w:rsidR="00545D33" w:rsidRPr="00F4739C" w:rsidRDefault="00545D33" w:rsidP="00105FCE">
      <w:pPr>
        <w:ind w:left="1420"/>
        <w:jc w:val="both"/>
        <w:rPr>
          <w:rFonts w:ascii="Times New Roman" w:hAnsi="Times New Roman" w:cs="Times New Roman"/>
          <w:smallCaps/>
        </w:rPr>
      </w:pPr>
      <w:r w:rsidRPr="00F4739C">
        <w:rPr>
          <w:rFonts w:ascii="Times New Roman" w:hAnsi="Times New Roman" w:cs="Times New Roman"/>
          <w:smallCaps/>
        </w:rPr>
        <w:t xml:space="preserve">section 1 : la mondialisation des échanges et la souveraineté des </w:t>
      </w:r>
    </w:p>
    <w:p w14:paraId="41916D48" w14:textId="77777777" w:rsidR="00545D33" w:rsidRPr="00F4739C" w:rsidRDefault="00545D33" w:rsidP="00105FCE">
      <w:pPr>
        <w:ind w:left="1420"/>
        <w:jc w:val="both"/>
        <w:rPr>
          <w:rFonts w:ascii="Times New Roman" w:hAnsi="Times New Roman" w:cs="Times New Roman"/>
          <w:smallCaps/>
        </w:rPr>
      </w:pPr>
      <w:r w:rsidRPr="00F4739C">
        <w:rPr>
          <w:rFonts w:ascii="Times New Roman" w:hAnsi="Times New Roman" w:cs="Times New Roman"/>
          <w:smallCaps/>
        </w:rPr>
        <w:t xml:space="preserve">                        Etats</w:t>
      </w:r>
    </w:p>
    <w:p w14:paraId="031A3C53" w14:textId="77777777" w:rsidR="00545D33" w:rsidRPr="00F4739C" w:rsidRDefault="00545D33" w:rsidP="00105FCE">
      <w:pPr>
        <w:ind w:left="1420"/>
        <w:jc w:val="both"/>
        <w:rPr>
          <w:rFonts w:ascii="Times New Roman" w:hAnsi="Times New Roman" w:cs="Times New Roman"/>
          <w:smallCaps/>
        </w:rPr>
      </w:pPr>
      <w:r w:rsidRPr="00F4739C">
        <w:rPr>
          <w:rFonts w:ascii="Times New Roman" w:hAnsi="Times New Roman" w:cs="Times New Roman"/>
          <w:smallCaps/>
        </w:rPr>
        <w:t xml:space="preserve">section 2 : la mondialisation des échanges,  la souverainete des etats     </w:t>
      </w:r>
    </w:p>
    <w:p w14:paraId="2088F57A" w14:textId="77777777" w:rsidR="00545D33" w:rsidRPr="00F4739C" w:rsidRDefault="00545D33" w:rsidP="00105FCE">
      <w:pPr>
        <w:ind w:left="1420"/>
        <w:jc w:val="both"/>
        <w:rPr>
          <w:rFonts w:ascii="Times New Roman" w:hAnsi="Times New Roman" w:cs="Times New Roman"/>
          <w:smallCaps/>
        </w:rPr>
      </w:pPr>
      <w:r w:rsidRPr="00F4739C">
        <w:rPr>
          <w:rFonts w:ascii="Times New Roman" w:hAnsi="Times New Roman" w:cs="Times New Roman"/>
          <w:smallCaps/>
        </w:rPr>
        <w:t xml:space="preserve">                        et la protection de l’environnement</w:t>
      </w:r>
    </w:p>
    <w:p w14:paraId="413DFB13" w14:textId="77777777" w:rsidR="00545D33" w:rsidRPr="00F4739C" w:rsidRDefault="00545D33" w:rsidP="00105FCE">
      <w:pPr>
        <w:jc w:val="both"/>
        <w:rPr>
          <w:rFonts w:ascii="Times New Roman" w:hAnsi="Times New Roman" w:cs="Times New Roman"/>
          <w:smallCaps/>
        </w:rPr>
      </w:pPr>
      <w:r w:rsidRPr="00F4739C">
        <w:rPr>
          <w:rFonts w:ascii="Times New Roman" w:hAnsi="Times New Roman" w:cs="Times New Roman"/>
          <w:smallCaps/>
        </w:rPr>
        <w:tab/>
      </w:r>
      <w:r w:rsidRPr="00F4739C">
        <w:rPr>
          <w:rFonts w:ascii="Times New Roman" w:hAnsi="Times New Roman" w:cs="Times New Roman"/>
          <w:smallCaps/>
        </w:rPr>
        <w:tab/>
        <w:t xml:space="preserve">section 3 : le commerce et l’environnement : un débat qui s’impose au </w:t>
      </w:r>
    </w:p>
    <w:p w14:paraId="01D5E9C3" w14:textId="4070BAA1" w:rsidR="00545D33" w:rsidRPr="00F4739C" w:rsidRDefault="00545D33" w:rsidP="00105FCE">
      <w:pPr>
        <w:jc w:val="both"/>
        <w:rPr>
          <w:rFonts w:ascii="Times New Roman" w:hAnsi="Times New Roman" w:cs="Times New Roman"/>
          <w:smallCaps/>
        </w:rPr>
      </w:pPr>
      <w:r w:rsidRPr="00F4739C">
        <w:rPr>
          <w:rFonts w:ascii="Times New Roman" w:hAnsi="Times New Roman" w:cs="Times New Roman"/>
          <w:smallCaps/>
        </w:rPr>
        <w:t xml:space="preserve">                                                      </w:t>
      </w:r>
      <w:r w:rsidR="00F4739C" w:rsidRPr="00F4739C">
        <w:rPr>
          <w:rFonts w:ascii="Times New Roman" w:hAnsi="Times New Roman" w:cs="Times New Roman"/>
          <w:smallCaps/>
        </w:rPr>
        <w:t>gatt  et à l’omc</w:t>
      </w:r>
    </w:p>
    <w:p w14:paraId="067599DC" w14:textId="2D4B2147" w:rsidR="00545D33" w:rsidRPr="00F4739C" w:rsidRDefault="00F4739C" w:rsidP="00105FCE">
      <w:pPr>
        <w:jc w:val="both"/>
        <w:rPr>
          <w:rFonts w:ascii="Times New Roman" w:hAnsi="Times New Roman" w:cs="Times New Roman"/>
          <w:smallCaps/>
        </w:rPr>
      </w:pPr>
      <w:r w:rsidRPr="00F4739C">
        <w:rPr>
          <w:rFonts w:ascii="Times New Roman" w:hAnsi="Times New Roman" w:cs="Times New Roman"/>
          <w:smallCaps/>
        </w:rPr>
        <w:tab/>
      </w:r>
      <w:r w:rsidRPr="00F4739C">
        <w:rPr>
          <w:rFonts w:ascii="Times New Roman" w:hAnsi="Times New Roman" w:cs="Times New Roman"/>
          <w:smallCaps/>
        </w:rPr>
        <w:tab/>
        <w:t>section 4 : gatt/omc</w:t>
      </w:r>
      <w:r w:rsidR="00545D33" w:rsidRPr="00F4739C">
        <w:rPr>
          <w:rFonts w:ascii="Times New Roman" w:hAnsi="Times New Roman" w:cs="Times New Roman"/>
          <w:smallCaps/>
        </w:rPr>
        <w:t xml:space="preserve"> et l’environnement : un solution à rechercher </w:t>
      </w:r>
    </w:p>
    <w:p w14:paraId="689C535B" w14:textId="77777777" w:rsidR="00545D33" w:rsidRPr="00F4739C" w:rsidRDefault="00545D33" w:rsidP="00105FCE">
      <w:pPr>
        <w:jc w:val="both"/>
        <w:rPr>
          <w:rFonts w:ascii="Times New Roman" w:hAnsi="Times New Roman" w:cs="Times New Roman"/>
          <w:smallCaps/>
        </w:rPr>
      </w:pPr>
      <w:r w:rsidRPr="00F4739C">
        <w:rPr>
          <w:rFonts w:ascii="Times New Roman" w:hAnsi="Times New Roman" w:cs="Times New Roman"/>
          <w:smallCaps/>
        </w:rPr>
        <w:t xml:space="preserve">                                                      dans la jurisprudence</w:t>
      </w:r>
    </w:p>
    <w:p w14:paraId="5036B100" w14:textId="77777777" w:rsidR="00545D33" w:rsidRPr="00F4739C" w:rsidRDefault="00545D33" w:rsidP="00105FCE">
      <w:pPr>
        <w:ind w:left="1420"/>
        <w:jc w:val="both"/>
        <w:rPr>
          <w:rFonts w:ascii="Times New Roman" w:hAnsi="Times New Roman" w:cs="Times New Roman"/>
          <w:smallCaps/>
        </w:rPr>
      </w:pPr>
      <w:r w:rsidRPr="00F4739C">
        <w:rPr>
          <w:rFonts w:ascii="Times New Roman" w:hAnsi="Times New Roman" w:cs="Times New Roman"/>
          <w:smallCaps/>
        </w:rPr>
        <w:t xml:space="preserve">section 5 : l’invocabilité contentieuse croissante de l’exception         </w:t>
      </w:r>
    </w:p>
    <w:p w14:paraId="5D312D95" w14:textId="77777777" w:rsidR="00545D33" w:rsidRPr="00F4739C" w:rsidRDefault="00545D33" w:rsidP="00105FCE">
      <w:pPr>
        <w:ind w:left="1420"/>
        <w:jc w:val="both"/>
        <w:rPr>
          <w:rFonts w:ascii="Times New Roman" w:hAnsi="Times New Roman" w:cs="Times New Roman"/>
          <w:smallCaps/>
        </w:rPr>
      </w:pPr>
      <w:r w:rsidRPr="00F4739C">
        <w:rPr>
          <w:rFonts w:ascii="Times New Roman" w:hAnsi="Times New Roman" w:cs="Times New Roman"/>
          <w:smallCaps/>
        </w:rPr>
        <w:t xml:space="preserve">                        environnementale</w:t>
      </w:r>
    </w:p>
    <w:p w14:paraId="42AE8C23" w14:textId="77777777" w:rsidR="00545D33" w:rsidRPr="00F4739C" w:rsidRDefault="00545D33" w:rsidP="00105FCE">
      <w:pPr>
        <w:jc w:val="both"/>
        <w:rPr>
          <w:rFonts w:ascii="Times New Roman" w:hAnsi="Times New Roman" w:cs="Times New Roman"/>
          <w:smallCaps/>
        </w:rPr>
      </w:pPr>
    </w:p>
    <w:p w14:paraId="3D4300D8" w14:textId="51627D31" w:rsidR="00545D33" w:rsidRPr="00F4739C" w:rsidRDefault="00F4739C" w:rsidP="00105FCE">
      <w:pPr>
        <w:jc w:val="both"/>
        <w:rPr>
          <w:rFonts w:ascii="Times New Roman" w:hAnsi="Times New Roman" w:cs="Times New Roman"/>
          <w:smallCaps/>
          <w:sz w:val="28"/>
          <w:szCs w:val="28"/>
        </w:rPr>
      </w:pPr>
      <w:r w:rsidRPr="00F4739C">
        <w:rPr>
          <w:rFonts w:ascii="Times New Roman" w:hAnsi="Times New Roman" w:cs="Times New Roman"/>
          <w:smallCaps/>
          <w:sz w:val="28"/>
          <w:szCs w:val="28"/>
        </w:rPr>
        <w:t>Titre II : pratique du gatt/de l’omc</w:t>
      </w:r>
      <w:r w:rsidR="00545D33" w:rsidRPr="00F4739C">
        <w:rPr>
          <w:rFonts w:ascii="Times New Roman" w:hAnsi="Times New Roman" w:cs="Times New Roman"/>
          <w:smallCaps/>
          <w:sz w:val="28"/>
          <w:szCs w:val="28"/>
        </w:rPr>
        <w:t xml:space="preserve"> en matière de règlement des différends se rapportant à l’article XX, paragraphes </w:t>
      </w:r>
      <w:r>
        <w:rPr>
          <w:rFonts w:ascii="Times New Roman" w:hAnsi="Times New Roman" w:cs="Times New Roman"/>
          <w:i/>
          <w:smallCaps/>
          <w:sz w:val="28"/>
          <w:szCs w:val="28"/>
        </w:rPr>
        <w:t>b</w:t>
      </w:r>
      <w:r w:rsidR="00545D33" w:rsidRPr="00F4739C">
        <w:rPr>
          <w:rFonts w:ascii="Times New Roman" w:hAnsi="Times New Roman" w:cs="Times New Roman"/>
          <w:i/>
          <w:smallCaps/>
          <w:sz w:val="28"/>
          <w:szCs w:val="28"/>
        </w:rPr>
        <w:t>)</w:t>
      </w:r>
      <w:r w:rsidR="00545D33" w:rsidRPr="00F4739C">
        <w:rPr>
          <w:rFonts w:ascii="Times New Roman" w:hAnsi="Times New Roman" w:cs="Times New Roman"/>
          <w:smallCaps/>
          <w:sz w:val="28"/>
          <w:szCs w:val="28"/>
        </w:rPr>
        <w:t xml:space="preserve"> et </w:t>
      </w:r>
      <w:r w:rsidR="00545D33" w:rsidRPr="00F4739C">
        <w:rPr>
          <w:rFonts w:ascii="Times New Roman" w:hAnsi="Times New Roman" w:cs="Times New Roman"/>
          <w:i/>
          <w:smallCaps/>
          <w:sz w:val="28"/>
          <w:szCs w:val="28"/>
        </w:rPr>
        <w:t>g)</w:t>
      </w:r>
      <w:r w:rsidR="00545D33" w:rsidRPr="00F4739C">
        <w:rPr>
          <w:rFonts w:ascii="Times New Roman" w:hAnsi="Times New Roman" w:cs="Times New Roman"/>
          <w:smallCaps/>
          <w:sz w:val="28"/>
          <w:szCs w:val="28"/>
        </w:rPr>
        <w:t xml:space="preserve"> du GATT</w:t>
      </w:r>
    </w:p>
    <w:p w14:paraId="4E84280C" w14:textId="77777777" w:rsidR="00545D33" w:rsidRPr="00F4739C" w:rsidRDefault="00545D33" w:rsidP="00105FCE">
      <w:pPr>
        <w:jc w:val="both"/>
        <w:rPr>
          <w:rFonts w:ascii="Times New Roman" w:hAnsi="Times New Roman" w:cs="Times New Roman"/>
          <w:i/>
        </w:rPr>
      </w:pPr>
    </w:p>
    <w:p w14:paraId="3F013C6F" w14:textId="77777777" w:rsidR="00545D33" w:rsidRPr="00F4739C" w:rsidRDefault="00545D33" w:rsidP="00105FCE">
      <w:pPr>
        <w:jc w:val="both"/>
        <w:rPr>
          <w:rFonts w:ascii="Times New Roman" w:hAnsi="Times New Roman" w:cs="Times New Roman"/>
          <w:smallCaps/>
        </w:rPr>
      </w:pPr>
      <w:r w:rsidRPr="00F4739C">
        <w:rPr>
          <w:rFonts w:ascii="Times New Roman" w:hAnsi="Times New Roman" w:cs="Times New Roman"/>
          <w:smallCaps/>
        </w:rPr>
        <w:tab/>
        <w:t xml:space="preserve">I.  L’article XX du GATT, le chapeau et les paragraphes </w:t>
      </w:r>
      <w:r w:rsidRPr="00F4739C">
        <w:rPr>
          <w:rFonts w:ascii="Times New Roman" w:hAnsi="Times New Roman" w:cs="Times New Roman"/>
          <w:i/>
          <w:smallCaps/>
        </w:rPr>
        <w:t>b)</w:t>
      </w:r>
      <w:r w:rsidRPr="00F4739C">
        <w:rPr>
          <w:rFonts w:ascii="Times New Roman" w:hAnsi="Times New Roman" w:cs="Times New Roman"/>
          <w:smallCaps/>
        </w:rPr>
        <w:t xml:space="preserve"> et </w:t>
      </w:r>
      <w:r w:rsidRPr="00F4739C">
        <w:rPr>
          <w:rFonts w:ascii="Times New Roman" w:hAnsi="Times New Roman" w:cs="Times New Roman"/>
          <w:i/>
          <w:smallCaps/>
        </w:rPr>
        <w:t>g)</w:t>
      </w:r>
      <w:r w:rsidRPr="00F4739C">
        <w:rPr>
          <w:rFonts w:ascii="Times New Roman" w:hAnsi="Times New Roman" w:cs="Times New Roman"/>
          <w:smallCaps/>
        </w:rPr>
        <w:t xml:space="preserve"> </w:t>
      </w:r>
    </w:p>
    <w:p w14:paraId="2D7853A1" w14:textId="77777777" w:rsidR="00545D33" w:rsidRPr="00F4739C" w:rsidRDefault="00545D33" w:rsidP="00105FCE">
      <w:pPr>
        <w:jc w:val="both"/>
        <w:rPr>
          <w:rFonts w:ascii="Times New Roman" w:hAnsi="Times New Roman" w:cs="Times New Roman"/>
          <w:smallCaps/>
        </w:rPr>
      </w:pPr>
      <w:r w:rsidRPr="00F4739C">
        <w:rPr>
          <w:rFonts w:ascii="Times New Roman" w:hAnsi="Times New Roman" w:cs="Times New Roman"/>
          <w:smallCaps/>
        </w:rPr>
        <w:tab/>
        <w:t>II. L’Application de l’article XX</w:t>
      </w:r>
    </w:p>
    <w:p w14:paraId="7C2D1124" w14:textId="77777777" w:rsidR="00545D33" w:rsidRPr="00F4739C" w:rsidRDefault="00545D33" w:rsidP="00105FCE">
      <w:pPr>
        <w:jc w:val="both"/>
        <w:rPr>
          <w:rFonts w:ascii="Times New Roman" w:hAnsi="Times New Roman" w:cs="Times New Roman"/>
          <w:smallCaps/>
        </w:rPr>
      </w:pPr>
      <w:r w:rsidRPr="00F4739C">
        <w:rPr>
          <w:rFonts w:ascii="Times New Roman" w:hAnsi="Times New Roman" w:cs="Times New Roman"/>
          <w:smallCaps/>
        </w:rPr>
        <w:tab/>
      </w:r>
      <w:r w:rsidRPr="00F4739C">
        <w:rPr>
          <w:rFonts w:ascii="Times New Roman" w:hAnsi="Times New Roman" w:cs="Times New Roman"/>
          <w:smallCaps/>
        </w:rPr>
        <w:tab/>
        <w:t>A. le rapport entre l’article XX et d’autres dispositions du GATT</w:t>
      </w:r>
    </w:p>
    <w:p w14:paraId="67F7811F" w14:textId="77777777" w:rsidR="00545D33" w:rsidRPr="00F4739C" w:rsidRDefault="00545D33" w:rsidP="00105FCE">
      <w:pPr>
        <w:jc w:val="both"/>
        <w:rPr>
          <w:rFonts w:ascii="Times New Roman" w:hAnsi="Times New Roman" w:cs="Times New Roman"/>
          <w:smallCaps/>
        </w:rPr>
      </w:pPr>
      <w:r w:rsidRPr="00F4739C">
        <w:rPr>
          <w:rFonts w:ascii="Times New Roman" w:hAnsi="Times New Roman" w:cs="Times New Roman"/>
          <w:smallCaps/>
        </w:rPr>
        <w:tab/>
      </w:r>
      <w:r w:rsidRPr="00F4739C">
        <w:rPr>
          <w:rFonts w:ascii="Times New Roman" w:hAnsi="Times New Roman" w:cs="Times New Roman"/>
          <w:smallCaps/>
        </w:rPr>
        <w:tab/>
        <w:t>B. la charge de la preuve</w:t>
      </w:r>
    </w:p>
    <w:p w14:paraId="1D216399" w14:textId="77777777" w:rsidR="00545D33" w:rsidRDefault="00545D33" w:rsidP="00105FCE">
      <w:pPr>
        <w:ind w:left="708" w:firstLine="708"/>
        <w:jc w:val="both"/>
        <w:rPr>
          <w:rFonts w:ascii="Times New Roman" w:hAnsi="Times New Roman" w:cs="Times New Roman"/>
          <w:smallCaps/>
        </w:rPr>
      </w:pPr>
      <w:r w:rsidRPr="00F4739C">
        <w:rPr>
          <w:rFonts w:ascii="Times New Roman" w:hAnsi="Times New Roman" w:cs="Times New Roman"/>
          <w:smallCaps/>
        </w:rPr>
        <w:t>C. l’ordre des étapes a suivre dans l’analyse de l’article XX</w:t>
      </w:r>
    </w:p>
    <w:p w14:paraId="47C5DCAD" w14:textId="77777777" w:rsidR="007624E3" w:rsidRPr="00F4739C" w:rsidRDefault="007624E3" w:rsidP="00105FCE">
      <w:pPr>
        <w:ind w:left="708" w:firstLine="708"/>
        <w:jc w:val="both"/>
        <w:rPr>
          <w:rFonts w:ascii="Times New Roman" w:hAnsi="Times New Roman" w:cs="Times New Roman"/>
          <w:smallCaps/>
        </w:rPr>
      </w:pPr>
      <w:r>
        <w:rPr>
          <w:rFonts w:ascii="Times New Roman" w:hAnsi="Times New Roman" w:cs="Times New Roman"/>
          <w:smallCaps/>
        </w:rPr>
        <w:t xml:space="preserve">D. </w:t>
      </w:r>
      <w:r w:rsidRPr="00F4739C">
        <w:rPr>
          <w:rFonts w:ascii="Times New Roman" w:hAnsi="Times New Roman" w:cs="Times New Roman"/>
          <w:smallCaps/>
        </w:rPr>
        <w:t xml:space="preserve">la différence de structure entre le chapeau et les différents         </w:t>
      </w:r>
    </w:p>
    <w:p w14:paraId="799AEE81" w14:textId="2D8C162F" w:rsidR="007624E3" w:rsidRPr="00F4739C" w:rsidRDefault="007624E3" w:rsidP="00105FCE">
      <w:pPr>
        <w:ind w:left="708" w:firstLine="708"/>
        <w:jc w:val="both"/>
        <w:rPr>
          <w:rFonts w:ascii="Times New Roman" w:hAnsi="Times New Roman" w:cs="Times New Roman"/>
          <w:smallCaps/>
        </w:rPr>
      </w:pPr>
      <w:r>
        <w:rPr>
          <w:rFonts w:ascii="Times New Roman" w:hAnsi="Times New Roman" w:cs="Times New Roman"/>
          <w:smallCaps/>
        </w:rPr>
        <w:t xml:space="preserve">     </w:t>
      </w:r>
      <w:r w:rsidRPr="00F4739C">
        <w:rPr>
          <w:rFonts w:ascii="Times New Roman" w:hAnsi="Times New Roman" w:cs="Times New Roman"/>
          <w:smallCaps/>
        </w:rPr>
        <w:t xml:space="preserve"> paragraphes de l’article XX</w:t>
      </w:r>
    </w:p>
    <w:p w14:paraId="24F69630" w14:textId="77777777" w:rsidR="00545D33" w:rsidRDefault="00545D33" w:rsidP="00105FCE">
      <w:pPr>
        <w:jc w:val="both"/>
        <w:rPr>
          <w:rFonts w:ascii="Times New Roman" w:hAnsi="Times New Roman" w:cs="Times New Roman"/>
          <w:smallCaps/>
        </w:rPr>
      </w:pPr>
      <w:r w:rsidRPr="00F4739C">
        <w:rPr>
          <w:rFonts w:ascii="Times New Roman" w:hAnsi="Times New Roman" w:cs="Times New Roman"/>
          <w:smallCaps/>
        </w:rPr>
        <w:tab/>
      </w:r>
    </w:p>
    <w:p w14:paraId="410A0493" w14:textId="77777777" w:rsidR="00105FCE" w:rsidRDefault="00105FCE" w:rsidP="00105FCE">
      <w:pPr>
        <w:jc w:val="both"/>
        <w:rPr>
          <w:rFonts w:ascii="Times New Roman" w:hAnsi="Times New Roman" w:cs="Times New Roman"/>
          <w:smallCaps/>
        </w:rPr>
      </w:pPr>
    </w:p>
    <w:p w14:paraId="385E4BCD" w14:textId="77777777" w:rsidR="00105FCE" w:rsidRDefault="00105FCE" w:rsidP="00105FCE">
      <w:pPr>
        <w:jc w:val="both"/>
        <w:rPr>
          <w:rFonts w:ascii="Times New Roman" w:hAnsi="Times New Roman" w:cs="Times New Roman"/>
          <w:smallCaps/>
        </w:rPr>
      </w:pPr>
    </w:p>
    <w:p w14:paraId="456E2254" w14:textId="77777777" w:rsidR="00105FCE" w:rsidRPr="00F4739C" w:rsidRDefault="00105FCE" w:rsidP="00105FCE">
      <w:pPr>
        <w:jc w:val="both"/>
        <w:rPr>
          <w:rFonts w:ascii="Times New Roman" w:hAnsi="Times New Roman" w:cs="Times New Roman"/>
          <w:smallCaps/>
        </w:rPr>
      </w:pPr>
    </w:p>
    <w:p w14:paraId="22EC6C5B" w14:textId="77777777" w:rsidR="00545D33" w:rsidRPr="00F4739C" w:rsidRDefault="00545D33" w:rsidP="00105FCE">
      <w:pPr>
        <w:ind w:firstLine="708"/>
        <w:jc w:val="both"/>
        <w:rPr>
          <w:rFonts w:ascii="Times New Roman" w:hAnsi="Times New Roman" w:cs="Times New Roman"/>
          <w:smallCaps/>
        </w:rPr>
      </w:pPr>
      <w:r w:rsidRPr="00F4739C">
        <w:rPr>
          <w:rFonts w:ascii="Times New Roman" w:hAnsi="Times New Roman" w:cs="Times New Roman"/>
          <w:smallCaps/>
        </w:rPr>
        <w:t>III. Le chapeau de l’article XX</w:t>
      </w:r>
    </w:p>
    <w:p w14:paraId="507F73B8" w14:textId="5F197931" w:rsidR="00545D33" w:rsidRPr="00F4739C" w:rsidRDefault="00545D33" w:rsidP="00105FCE">
      <w:pPr>
        <w:ind w:firstLine="708"/>
        <w:jc w:val="both"/>
        <w:rPr>
          <w:rFonts w:ascii="Times New Roman" w:hAnsi="Times New Roman" w:cs="Times New Roman"/>
          <w:smallCaps/>
        </w:rPr>
      </w:pPr>
      <w:r w:rsidRPr="00F4739C">
        <w:rPr>
          <w:rFonts w:ascii="Times New Roman" w:hAnsi="Times New Roman" w:cs="Times New Roman"/>
          <w:smallCaps/>
        </w:rPr>
        <w:tab/>
        <w:t>A. la fonction et le champ d’application du chapeau</w:t>
      </w:r>
    </w:p>
    <w:p w14:paraId="44873661" w14:textId="77777777" w:rsidR="00545D33" w:rsidRPr="00F4739C" w:rsidRDefault="00545D33" w:rsidP="00105FCE">
      <w:pPr>
        <w:ind w:left="1416" w:firstLine="4"/>
        <w:jc w:val="both"/>
        <w:rPr>
          <w:rFonts w:ascii="Times New Roman" w:hAnsi="Times New Roman" w:cs="Times New Roman"/>
          <w:smallCaps/>
        </w:rPr>
      </w:pPr>
      <w:r w:rsidRPr="00F4739C">
        <w:rPr>
          <w:rFonts w:ascii="Times New Roman" w:hAnsi="Times New Roman" w:cs="Times New Roman"/>
          <w:smallCaps/>
        </w:rPr>
        <w:t>B. « un moyen de discrimination arbitraire ou injustifiable entre les pays où les mêmes conditions existent, soit une restriction déguisée au commerce international »</w:t>
      </w:r>
    </w:p>
    <w:p w14:paraId="123E0D98" w14:textId="77777777" w:rsidR="00545D33" w:rsidRPr="00F4739C" w:rsidRDefault="00545D33" w:rsidP="00105FCE">
      <w:pPr>
        <w:jc w:val="both"/>
        <w:rPr>
          <w:rFonts w:ascii="Times New Roman" w:hAnsi="Times New Roman" w:cs="Times New Roman"/>
          <w:smallCaps/>
        </w:rPr>
      </w:pPr>
      <w:r w:rsidRPr="00F4739C">
        <w:rPr>
          <w:rFonts w:ascii="Times New Roman" w:hAnsi="Times New Roman" w:cs="Times New Roman"/>
          <w:smallCaps/>
        </w:rPr>
        <w:tab/>
      </w:r>
      <w:r w:rsidRPr="00F4739C">
        <w:rPr>
          <w:rFonts w:ascii="Times New Roman" w:hAnsi="Times New Roman" w:cs="Times New Roman"/>
          <w:smallCaps/>
        </w:rPr>
        <w:tab/>
        <w:t xml:space="preserve">    </w:t>
      </w:r>
    </w:p>
    <w:p w14:paraId="719C3856" w14:textId="77777777" w:rsidR="00545D33" w:rsidRPr="00F4739C" w:rsidRDefault="00545D33" w:rsidP="00105FCE">
      <w:pPr>
        <w:ind w:firstLine="708"/>
        <w:jc w:val="both"/>
        <w:rPr>
          <w:rFonts w:ascii="Times New Roman" w:hAnsi="Times New Roman" w:cs="Times New Roman"/>
          <w:smallCaps/>
        </w:rPr>
      </w:pPr>
    </w:p>
    <w:p w14:paraId="112A3D52" w14:textId="77777777" w:rsidR="00545D33" w:rsidRPr="00F4739C" w:rsidRDefault="00545D33" w:rsidP="00105FCE">
      <w:pPr>
        <w:ind w:firstLine="708"/>
        <w:jc w:val="both"/>
        <w:rPr>
          <w:rFonts w:ascii="Times New Roman" w:hAnsi="Times New Roman" w:cs="Times New Roman"/>
          <w:smallCaps/>
        </w:rPr>
      </w:pPr>
      <w:r w:rsidRPr="00F4739C">
        <w:rPr>
          <w:rFonts w:ascii="Times New Roman" w:hAnsi="Times New Roman" w:cs="Times New Roman"/>
          <w:smallCaps/>
        </w:rPr>
        <w:t xml:space="preserve">IV. paragraphe </w:t>
      </w:r>
      <w:r w:rsidRPr="00F4739C">
        <w:rPr>
          <w:rFonts w:ascii="Times New Roman" w:hAnsi="Times New Roman" w:cs="Times New Roman"/>
          <w:i/>
          <w:smallCaps/>
        </w:rPr>
        <w:t>b)</w:t>
      </w:r>
      <w:r w:rsidRPr="00F4739C">
        <w:rPr>
          <w:rFonts w:ascii="Times New Roman" w:hAnsi="Times New Roman" w:cs="Times New Roman"/>
          <w:smallCaps/>
        </w:rPr>
        <w:t xml:space="preserve"> de l’article XX</w:t>
      </w:r>
    </w:p>
    <w:p w14:paraId="1C7F32DB" w14:textId="77777777" w:rsidR="00545D33" w:rsidRPr="00F4739C" w:rsidRDefault="00545D33" w:rsidP="00105FCE">
      <w:pPr>
        <w:pStyle w:val="Paragraphedeliste"/>
        <w:numPr>
          <w:ilvl w:val="0"/>
          <w:numId w:val="18"/>
        </w:numPr>
        <w:jc w:val="both"/>
        <w:rPr>
          <w:rFonts w:ascii="Times New Roman" w:hAnsi="Times New Roman" w:cs="Times New Roman"/>
          <w:smallCaps/>
        </w:rPr>
      </w:pPr>
      <w:r w:rsidRPr="00F4739C">
        <w:rPr>
          <w:rFonts w:ascii="Times New Roman" w:hAnsi="Times New Roman" w:cs="Times New Roman"/>
          <w:smallCaps/>
        </w:rPr>
        <w:t>Charge de la preuve</w:t>
      </w:r>
    </w:p>
    <w:p w14:paraId="56CEBAA6" w14:textId="77777777" w:rsidR="00545D33" w:rsidRPr="00F4739C" w:rsidRDefault="00545D33" w:rsidP="00105FCE">
      <w:pPr>
        <w:pStyle w:val="Paragraphedeliste"/>
        <w:numPr>
          <w:ilvl w:val="0"/>
          <w:numId w:val="18"/>
        </w:numPr>
        <w:jc w:val="both"/>
        <w:rPr>
          <w:rFonts w:ascii="Times New Roman" w:hAnsi="Times New Roman" w:cs="Times New Roman"/>
          <w:smallCaps/>
        </w:rPr>
      </w:pPr>
      <w:r w:rsidRPr="00F4739C">
        <w:rPr>
          <w:rFonts w:ascii="Times New Roman" w:hAnsi="Times New Roman" w:cs="Times New Roman"/>
          <w:smallCaps/>
        </w:rPr>
        <w:t>Objectif général de protection de la santé et de la vie des personnes et des animaux ou de préservation des végétaux</w:t>
      </w:r>
    </w:p>
    <w:p w14:paraId="53DB49E5" w14:textId="77777777" w:rsidR="00545D33" w:rsidRPr="00F4739C" w:rsidRDefault="00545D33" w:rsidP="00105FCE">
      <w:pPr>
        <w:pStyle w:val="Paragraphedeliste"/>
        <w:numPr>
          <w:ilvl w:val="0"/>
          <w:numId w:val="18"/>
        </w:numPr>
        <w:jc w:val="both"/>
        <w:rPr>
          <w:rFonts w:ascii="Times New Roman" w:hAnsi="Times New Roman" w:cs="Times New Roman"/>
          <w:smallCaps/>
        </w:rPr>
      </w:pPr>
      <w:r w:rsidRPr="00F4739C">
        <w:rPr>
          <w:rFonts w:ascii="Times New Roman" w:hAnsi="Times New Roman" w:cs="Times New Roman"/>
          <w:smallCaps/>
        </w:rPr>
        <w:t xml:space="preserve">Mesure devant être justifiée au regard de l’article XX </w:t>
      </w:r>
      <w:r w:rsidRPr="00F4739C">
        <w:rPr>
          <w:rFonts w:ascii="Times New Roman" w:hAnsi="Times New Roman" w:cs="Times New Roman"/>
          <w:i/>
          <w:smallCaps/>
        </w:rPr>
        <w:t>b)</w:t>
      </w:r>
    </w:p>
    <w:p w14:paraId="1EAEBCFF" w14:textId="77777777" w:rsidR="00545D33" w:rsidRPr="00F4739C" w:rsidRDefault="00545D33" w:rsidP="00105FCE">
      <w:pPr>
        <w:pStyle w:val="Paragraphedeliste"/>
        <w:numPr>
          <w:ilvl w:val="0"/>
          <w:numId w:val="18"/>
        </w:numPr>
        <w:jc w:val="both"/>
        <w:rPr>
          <w:rFonts w:ascii="Times New Roman" w:hAnsi="Times New Roman" w:cs="Times New Roman"/>
          <w:smallCaps/>
        </w:rPr>
      </w:pPr>
      <w:r w:rsidRPr="00F4739C">
        <w:rPr>
          <w:rFonts w:ascii="Times New Roman" w:hAnsi="Times New Roman" w:cs="Times New Roman"/>
          <w:smallCaps/>
        </w:rPr>
        <w:t>Concept de nécessité</w:t>
      </w:r>
    </w:p>
    <w:p w14:paraId="30953E35" w14:textId="77777777" w:rsidR="00545D33" w:rsidRPr="00F4739C" w:rsidRDefault="00545D33" w:rsidP="00105FCE">
      <w:pPr>
        <w:pStyle w:val="Paragraphedeliste"/>
        <w:numPr>
          <w:ilvl w:val="0"/>
          <w:numId w:val="18"/>
        </w:numPr>
        <w:jc w:val="both"/>
        <w:rPr>
          <w:rFonts w:ascii="Times New Roman" w:hAnsi="Times New Roman" w:cs="Times New Roman"/>
          <w:smallCaps/>
        </w:rPr>
      </w:pPr>
      <w:r w:rsidRPr="00F4739C">
        <w:rPr>
          <w:rFonts w:ascii="Times New Roman" w:hAnsi="Times New Roman" w:cs="Times New Roman"/>
          <w:smallCaps/>
        </w:rPr>
        <w:t>Application de l’article XX b) dans la sphère de compétence du pays</w:t>
      </w:r>
    </w:p>
    <w:p w14:paraId="68803A3D" w14:textId="77777777" w:rsidR="00545D33" w:rsidRPr="00F4739C" w:rsidRDefault="00545D33" w:rsidP="00105FCE">
      <w:pPr>
        <w:pStyle w:val="Paragraphedeliste"/>
        <w:numPr>
          <w:ilvl w:val="1"/>
          <w:numId w:val="18"/>
        </w:numPr>
        <w:jc w:val="both"/>
        <w:rPr>
          <w:rFonts w:ascii="Times New Roman" w:hAnsi="Times New Roman" w:cs="Times New Roman"/>
          <w:smallCaps/>
        </w:rPr>
      </w:pPr>
      <w:r w:rsidRPr="00F4739C">
        <w:rPr>
          <w:rFonts w:ascii="Times New Roman" w:hAnsi="Times New Roman" w:cs="Times New Roman"/>
          <w:smallCaps/>
        </w:rPr>
        <w:t>Historique de la négociation</w:t>
      </w:r>
    </w:p>
    <w:p w14:paraId="1A471ED6" w14:textId="77777777" w:rsidR="00545D33" w:rsidRPr="00F4739C" w:rsidRDefault="00545D33" w:rsidP="00105FCE">
      <w:pPr>
        <w:pStyle w:val="Paragraphedeliste"/>
        <w:numPr>
          <w:ilvl w:val="1"/>
          <w:numId w:val="18"/>
        </w:numPr>
        <w:jc w:val="both"/>
        <w:rPr>
          <w:rFonts w:ascii="Times New Roman" w:hAnsi="Times New Roman" w:cs="Times New Roman"/>
          <w:smallCaps/>
        </w:rPr>
      </w:pPr>
      <w:r w:rsidRPr="00F4739C">
        <w:rPr>
          <w:rFonts w:ascii="Times New Roman" w:hAnsi="Times New Roman" w:cs="Times New Roman"/>
          <w:smallCaps/>
        </w:rPr>
        <w:t xml:space="preserve">Concept de la nécessité et application de l’article XX </w:t>
      </w:r>
      <w:r w:rsidRPr="00F4739C">
        <w:rPr>
          <w:rFonts w:ascii="Times New Roman" w:hAnsi="Times New Roman" w:cs="Times New Roman"/>
          <w:i/>
          <w:smallCaps/>
        </w:rPr>
        <w:t>b)</w:t>
      </w:r>
      <w:r w:rsidRPr="00F4739C">
        <w:rPr>
          <w:rFonts w:ascii="Times New Roman" w:hAnsi="Times New Roman" w:cs="Times New Roman"/>
          <w:smallCaps/>
        </w:rPr>
        <w:t xml:space="preserve"> hors de la sphère de compétence du pays</w:t>
      </w:r>
    </w:p>
    <w:p w14:paraId="3576C811" w14:textId="77777777" w:rsidR="00545D33" w:rsidRPr="00F4739C" w:rsidRDefault="00545D33" w:rsidP="00105FCE">
      <w:pPr>
        <w:pStyle w:val="Paragraphedeliste"/>
        <w:ind w:left="2500"/>
        <w:jc w:val="both"/>
        <w:rPr>
          <w:rFonts w:ascii="Times New Roman" w:hAnsi="Times New Roman" w:cs="Times New Roman"/>
          <w:smallCaps/>
        </w:rPr>
      </w:pPr>
    </w:p>
    <w:p w14:paraId="28E6033A" w14:textId="77777777" w:rsidR="00545D33" w:rsidRPr="00F4739C" w:rsidRDefault="00545D33" w:rsidP="00105FCE">
      <w:pPr>
        <w:ind w:left="708"/>
        <w:jc w:val="both"/>
        <w:rPr>
          <w:rFonts w:ascii="Times New Roman" w:hAnsi="Times New Roman" w:cs="Times New Roman"/>
          <w:smallCaps/>
        </w:rPr>
      </w:pPr>
      <w:r w:rsidRPr="00F4739C">
        <w:rPr>
          <w:rFonts w:ascii="Times New Roman" w:hAnsi="Times New Roman" w:cs="Times New Roman"/>
          <w:smallCaps/>
        </w:rPr>
        <w:t xml:space="preserve">V. paragraphe </w:t>
      </w:r>
      <w:r w:rsidRPr="00F4739C">
        <w:rPr>
          <w:rFonts w:ascii="Times New Roman" w:hAnsi="Times New Roman" w:cs="Times New Roman"/>
          <w:i/>
          <w:smallCaps/>
        </w:rPr>
        <w:t>g)</w:t>
      </w:r>
      <w:r w:rsidRPr="00F4739C">
        <w:rPr>
          <w:rFonts w:ascii="Times New Roman" w:hAnsi="Times New Roman" w:cs="Times New Roman"/>
          <w:smallCaps/>
        </w:rPr>
        <w:t xml:space="preserve"> de l’article XX</w:t>
      </w:r>
    </w:p>
    <w:p w14:paraId="1B1693C0" w14:textId="5141787F" w:rsidR="00545D33" w:rsidRPr="00F4739C" w:rsidRDefault="00F4739C" w:rsidP="00105FCE">
      <w:pPr>
        <w:pStyle w:val="Paragraphedeliste"/>
        <w:numPr>
          <w:ilvl w:val="0"/>
          <w:numId w:val="19"/>
        </w:numPr>
        <w:jc w:val="both"/>
        <w:rPr>
          <w:rFonts w:ascii="Times New Roman" w:hAnsi="Times New Roman" w:cs="Times New Roman"/>
          <w:smallCaps/>
        </w:rPr>
      </w:pPr>
      <w:r>
        <w:rPr>
          <w:rFonts w:ascii="Times New Roman" w:hAnsi="Times New Roman" w:cs="Times New Roman"/>
          <w:smallCaps/>
        </w:rPr>
        <w:t>c</w:t>
      </w:r>
      <w:r w:rsidR="00545D33" w:rsidRPr="00F4739C">
        <w:rPr>
          <w:rFonts w:ascii="Times New Roman" w:hAnsi="Times New Roman" w:cs="Times New Roman"/>
          <w:smallCaps/>
        </w:rPr>
        <w:t>harge de la preuve</w:t>
      </w:r>
    </w:p>
    <w:p w14:paraId="4C2EF1C2" w14:textId="5CDB6A18" w:rsidR="00545D33" w:rsidRPr="00F4739C" w:rsidRDefault="00F4739C" w:rsidP="00105FCE">
      <w:pPr>
        <w:pStyle w:val="Paragraphedeliste"/>
        <w:numPr>
          <w:ilvl w:val="0"/>
          <w:numId w:val="19"/>
        </w:numPr>
        <w:jc w:val="both"/>
        <w:rPr>
          <w:rFonts w:ascii="Times New Roman" w:hAnsi="Times New Roman" w:cs="Times New Roman"/>
          <w:smallCaps/>
        </w:rPr>
      </w:pPr>
      <w:r>
        <w:rPr>
          <w:rFonts w:ascii="Times New Roman" w:hAnsi="Times New Roman" w:cs="Times New Roman"/>
          <w:smallCaps/>
        </w:rPr>
        <w:t>o</w:t>
      </w:r>
      <w:r w:rsidR="00545D33" w:rsidRPr="00F4739C">
        <w:rPr>
          <w:rFonts w:ascii="Times New Roman" w:hAnsi="Times New Roman" w:cs="Times New Roman"/>
          <w:smallCaps/>
        </w:rPr>
        <w:t>bjectif général de conservation des ressources naturelles épuisables</w:t>
      </w:r>
    </w:p>
    <w:p w14:paraId="3FFD847B" w14:textId="5BD7EBE6" w:rsidR="00545D33" w:rsidRPr="00F4739C" w:rsidRDefault="00F4739C" w:rsidP="00105FCE">
      <w:pPr>
        <w:pStyle w:val="Paragraphedeliste"/>
        <w:numPr>
          <w:ilvl w:val="0"/>
          <w:numId w:val="19"/>
        </w:numPr>
        <w:jc w:val="both"/>
        <w:rPr>
          <w:rFonts w:ascii="Times New Roman" w:hAnsi="Times New Roman" w:cs="Times New Roman"/>
          <w:smallCaps/>
        </w:rPr>
      </w:pPr>
      <w:r>
        <w:rPr>
          <w:rFonts w:ascii="Times New Roman" w:hAnsi="Times New Roman" w:cs="Times New Roman"/>
          <w:smallCaps/>
        </w:rPr>
        <w:t>m</w:t>
      </w:r>
      <w:r w:rsidR="00545D33" w:rsidRPr="00F4739C">
        <w:rPr>
          <w:rFonts w:ascii="Times New Roman" w:hAnsi="Times New Roman" w:cs="Times New Roman"/>
          <w:smallCaps/>
        </w:rPr>
        <w:t xml:space="preserve">esure devant être justifiée au regard de l’article XX </w:t>
      </w:r>
      <w:r w:rsidR="00545D33" w:rsidRPr="00F4739C">
        <w:rPr>
          <w:rFonts w:ascii="Times New Roman" w:hAnsi="Times New Roman" w:cs="Times New Roman"/>
          <w:i/>
          <w:smallCaps/>
        </w:rPr>
        <w:t>g)</w:t>
      </w:r>
    </w:p>
    <w:p w14:paraId="7BD036D3" w14:textId="77777777" w:rsidR="00545D33" w:rsidRPr="00F4739C" w:rsidRDefault="00545D33" w:rsidP="00105FCE">
      <w:pPr>
        <w:pStyle w:val="Paragraphedeliste"/>
        <w:numPr>
          <w:ilvl w:val="0"/>
          <w:numId w:val="19"/>
        </w:numPr>
        <w:jc w:val="both"/>
        <w:rPr>
          <w:rFonts w:ascii="Times New Roman" w:hAnsi="Times New Roman" w:cs="Times New Roman"/>
          <w:smallCaps/>
        </w:rPr>
      </w:pPr>
      <w:r w:rsidRPr="00F4739C">
        <w:rPr>
          <w:rFonts w:ascii="Times New Roman" w:hAnsi="Times New Roman" w:cs="Times New Roman"/>
          <w:smallCaps/>
        </w:rPr>
        <w:t>« se rapportant à… »</w:t>
      </w:r>
    </w:p>
    <w:p w14:paraId="7DD43C2D" w14:textId="5A8FAD6A" w:rsidR="00545D33" w:rsidRPr="00F4739C" w:rsidRDefault="00F4739C" w:rsidP="00105FCE">
      <w:pPr>
        <w:pStyle w:val="Paragraphedeliste"/>
        <w:numPr>
          <w:ilvl w:val="0"/>
          <w:numId w:val="19"/>
        </w:numPr>
        <w:jc w:val="both"/>
        <w:rPr>
          <w:rFonts w:ascii="Times New Roman" w:hAnsi="Times New Roman" w:cs="Times New Roman"/>
          <w:smallCaps/>
        </w:rPr>
      </w:pPr>
      <w:r>
        <w:rPr>
          <w:rFonts w:ascii="Times New Roman" w:hAnsi="Times New Roman" w:cs="Times New Roman"/>
          <w:smallCaps/>
        </w:rPr>
        <w:t>c</w:t>
      </w:r>
      <w:r w:rsidR="00545D33" w:rsidRPr="00F4739C">
        <w:rPr>
          <w:rFonts w:ascii="Times New Roman" w:hAnsi="Times New Roman" w:cs="Times New Roman"/>
          <w:smallCaps/>
        </w:rPr>
        <w:t>onjointement avec des restrictions à la production ou à la conservation nationales</w:t>
      </w:r>
    </w:p>
    <w:p w14:paraId="5215908B" w14:textId="7BE5A760" w:rsidR="00545D33" w:rsidRPr="00F4739C" w:rsidRDefault="00F4739C" w:rsidP="00105FCE">
      <w:pPr>
        <w:pStyle w:val="Paragraphedeliste"/>
        <w:numPr>
          <w:ilvl w:val="1"/>
          <w:numId w:val="19"/>
        </w:numPr>
        <w:jc w:val="both"/>
        <w:rPr>
          <w:rFonts w:ascii="Times New Roman" w:hAnsi="Times New Roman" w:cs="Times New Roman"/>
          <w:smallCaps/>
        </w:rPr>
      </w:pPr>
      <w:r>
        <w:rPr>
          <w:rFonts w:ascii="Times New Roman" w:hAnsi="Times New Roman" w:cs="Times New Roman"/>
          <w:smallCaps/>
        </w:rPr>
        <w:t>p</w:t>
      </w:r>
      <w:r w:rsidR="00545D33" w:rsidRPr="00F4739C">
        <w:rPr>
          <w:rFonts w:ascii="Times New Roman" w:hAnsi="Times New Roman" w:cs="Times New Roman"/>
          <w:smallCaps/>
        </w:rPr>
        <w:t>ratique du GATT de 1947 en matière de règlement des différends</w:t>
      </w:r>
    </w:p>
    <w:p w14:paraId="20570AA0" w14:textId="71A62321" w:rsidR="00545D33" w:rsidRPr="00F4739C" w:rsidRDefault="00F4739C" w:rsidP="00105FCE">
      <w:pPr>
        <w:pStyle w:val="Paragraphedeliste"/>
        <w:numPr>
          <w:ilvl w:val="1"/>
          <w:numId w:val="19"/>
        </w:numPr>
        <w:jc w:val="both"/>
        <w:rPr>
          <w:rFonts w:ascii="Times New Roman" w:hAnsi="Times New Roman" w:cs="Times New Roman"/>
          <w:smallCaps/>
        </w:rPr>
      </w:pPr>
      <w:r>
        <w:rPr>
          <w:rFonts w:ascii="Times New Roman" w:hAnsi="Times New Roman" w:cs="Times New Roman"/>
          <w:smallCaps/>
        </w:rPr>
        <w:t>p</w:t>
      </w:r>
      <w:r w:rsidR="00545D33" w:rsidRPr="00F4739C">
        <w:rPr>
          <w:rFonts w:ascii="Times New Roman" w:hAnsi="Times New Roman" w:cs="Times New Roman"/>
          <w:smallCaps/>
        </w:rPr>
        <w:t>ratique de l’OMC en matière de règlement des différends</w:t>
      </w:r>
    </w:p>
    <w:p w14:paraId="463F65B4" w14:textId="1A7FF1F8" w:rsidR="00545D33" w:rsidRPr="00F4739C" w:rsidRDefault="00F4739C" w:rsidP="00105FCE">
      <w:pPr>
        <w:pStyle w:val="Paragraphedeliste"/>
        <w:numPr>
          <w:ilvl w:val="0"/>
          <w:numId w:val="19"/>
        </w:numPr>
        <w:jc w:val="both"/>
        <w:rPr>
          <w:rFonts w:ascii="Times New Roman" w:hAnsi="Times New Roman" w:cs="Times New Roman"/>
          <w:smallCaps/>
        </w:rPr>
      </w:pPr>
      <w:r>
        <w:rPr>
          <w:rFonts w:ascii="Times New Roman" w:hAnsi="Times New Roman" w:cs="Times New Roman"/>
          <w:smallCaps/>
        </w:rPr>
        <w:t>a</w:t>
      </w:r>
      <w:r w:rsidR="00545D33" w:rsidRPr="00F4739C">
        <w:rPr>
          <w:rFonts w:ascii="Times New Roman" w:hAnsi="Times New Roman" w:cs="Times New Roman"/>
          <w:smallCaps/>
        </w:rPr>
        <w:t xml:space="preserve">pplication de l’article XX </w:t>
      </w:r>
      <w:r w:rsidR="00545D33" w:rsidRPr="00F4739C">
        <w:rPr>
          <w:rFonts w:ascii="Times New Roman" w:hAnsi="Times New Roman" w:cs="Times New Roman"/>
          <w:i/>
          <w:smallCaps/>
        </w:rPr>
        <w:t>g)</w:t>
      </w:r>
      <w:r w:rsidR="00545D33" w:rsidRPr="00F4739C">
        <w:rPr>
          <w:rFonts w:ascii="Times New Roman" w:hAnsi="Times New Roman" w:cs="Times New Roman"/>
          <w:smallCaps/>
        </w:rPr>
        <w:t xml:space="preserve"> dans la sphère de compétence du pays</w:t>
      </w:r>
    </w:p>
    <w:p w14:paraId="092D9278" w14:textId="74CB5C14" w:rsidR="00545D33" w:rsidRPr="00F4739C" w:rsidRDefault="00F4739C" w:rsidP="00105FCE">
      <w:pPr>
        <w:pStyle w:val="Paragraphedeliste"/>
        <w:numPr>
          <w:ilvl w:val="1"/>
          <w:numId w:val="19"/>
        </w:numPr>
        <w:jc w:val="both"/>
        <w:rPr>
          <w:rFonts w:ascii="Times New Roman" w:hAnsi="Times New Roman" w:cs="Times New Roman"/>
          <w:smallCaps/>
        </w:rPr>
      </w:pPr>
      <w:r>
        <w:rPr>
          <w:rFonts w:ascii="Times New Roman" w:hAnsi="Times New Roman" w:cs="Times New Roman"/>
          <w:smallCaps/>
        </w:rPr>
        <w:t>d</w:t>
      </w:r>
      <w:r w:rsidR="00545D33" w:rsidRPr="00F4739C">
        <w:rPr>
          <w:rFonts w:ascii="Times New Roman" w:hAnsi="Times New Roman" w:cs="Times New Roman"/>
          <w:smallCaps/>
        </w:rPr>
        <w:t>istinction entre territoire et sphère de compétence</w:t>
      </w:r>
    </w:p>
    <w:p w14:paraId="3458C489" w14:textId="4B0384E5" w:rsidR="00545D33" w:rsidRPr="00F4739C" w:rsidRDefault="00F4739C" w:rsidP="00105FCE">
      <w:pPr>
        <w:pStyle w:val="Paragraphedeliste"/>
        <w:numPr>
          <w:ilvl w:val="1"/>
          <w:numId w:val="19"/>
        </w:numPr>
        <w:jc w:val="both"/>
        <w:rPr>
          <w:rFonts w:ascii="Times New Roman" w:hAnsi="Times New Roman" w:cs="Times New Roman"/>
          <w:smallCaps/>
        </w:rPr>
      </w:pPr>
      <w:r>
        <w:rPr>
          <w:rFonts w:ascii="Times New Roman" w:hAnsi="Times New Roman" w:cs="Times New Roman"/>
          <w:smallCaps/>
        </w:rPr>
        <w:t>c</w:t>
      </w:r>
      <w:r w:rsidR="00545D33" w:rsidRPr="00F4739C">
        <w:rPr>
          <w:rFonts w:ascii="Times New Roman" w:hAnsi="Times New Roman" w:cs="Times New Roman"/>
          <w:smallCaps/>
        </w:rPr>
        <w:t>oncept « se rapporant à » et application de l’article XX g) hors de la sphère de compétence du pays</w:t>
      </w:r>
    </w:p>
    <w:p w14:paraId="4C78856C" w14:textId="77777777" w:rsidR="00545D33" w:rsidRPr="00F4739C" w:rsidRDefault="00545D33" w:rsidP="00105FCE">
      <w:pPr>
        <w:jc w:val="both"/>
        <w:rPr>
          <w:rFonts w:ascii="Times New Roman" w:hAnsi="Times New Roman" w:cs="Times New Roman"/>
          <w:smallCaps/>
        </w:rPr>
      </w:pPr>
    </w:p>
    <w:p w14:paraId="46A36F47" w14:textId="77777777" w:rsidR="00545D33" w:rsidRPr="00F4739C" w:rsidRDefault="00545D33" w:rsidP="00105FCE">
      <w:pPr>
        <w:jc w:val="both"/>
        <w:rPr>
          <w:rFonts w:ascii="Times New Roman" w:hAnsi="Times New Roman" w:cs="Times New Roman"/>
          <w:smallCaps/>
        </w:rPr>
      </w:pPr>
    </w:p>
    <w:p w14:paraId="06F0D7FB" w14:textId="321886DE" w:rsidR="00545D33" w:rsidRPr="00F4739C" w:rsidRDefault="00545D33" w:rsidP="00105FCE">
      <w:pPr>
        <w:ind w:left="708"/>
        <w:jc w:val="both"/>
        <w:rPr>
          <w:rFonts w:ascii="Times New Roman" w:hAnsi="Times New Roman" w:cs="Times New Roman"/>
          <w:smallCaps/>
        </w:rPr>
      </w:pPr>
      <w:r w:rsidRPr="00F4739C">
        <w:rPr>
          <w:rFonts w:ascii="Times New Roman" w:hAnsi="Times New Roman" w:cs="Times New Roman"/>
          <w:smallCaps/>
        </w:rPr>
        <w:t xml:space="preserve">VI. L’affaire </w:t>
      </w:r>
      <w:r w:rsidR="00F4739C">
        <w:rPr>
          <w:rFonts w:ascii="Times New Roman" w:hAnsi="Times New Roman" w:cs="Times New Roman"/>
          <w:smallCaps/>
        </w:rPr>
        <w:t>« </w:t>
      </w:r>
      <w:r w:rsidRPr="00F4739C">
        <w:rPr>
          <w:rFonts w:ascii="Times New Roman" w:hAnsi="Times New Roman" w:cs="Times New Roman"/>
          <w:smallCaps/>
        </w:rPr>
        <w:t>CE – Mesures concernant les viandes et les produits carnés</w:t>
      </w:r>
      <w:r w:rsidR="00F4739C">
        <w:rPr>
          <w:rFonts w:ascii="Times New Roman" w:hAnsi="Times New Roman" w:cs="Times New Roman"/>
          <w:smallCaps/>
        </w:rPr>
        <w:t> »</w:t>
      </w:r>
      <w:r w:rsidRPr="00F4739C">
        <w:rPr>
          <w:rFonts w:ascii="Times New Roman" w:hAnsi="Times New Roman" w:cs="Times New Roman"/>
          <w:smallCaps/>
        </w:rPr>
        <w:t xml:space="preserve">  - le principe de précaution, une reconnaissance mitigée</w:t>
      </w:r>
    </w:p>
    <w:p w14:paraId="609A5BD9" w14:textId="77777777" w:rsidR="00545D33" w:rsidRPr="00F4739C" w:rsidRDefault="00545D33" w:rsidP="00105FCE">
      <w:pPr>
        <w:jc w:val="both"/>
        <w:rPr>
          <w:rFonts w:ascii="Times New Roman" w:hAnsi="Times New Roman" w:cs="Times New Roman"/>
          <w:smallCaps/>
        </w:rPr>
      </w:pPr>
    </w:p>
    <w:p w14:paraId="1B539F58" w14:textId="77777777" w:rsidR="001F76CA" w:rsidRDefault="00545D33" w:rsidP="00105FCE">
      <w:pPr>
        <w:jc w:val="both"/>
        <w:rPr>
          <w:rFonts w:ascii="Times New Roman" w:hAnsi="Times New Roman" w:cs="Times New Roman"/>
          <w:smallCaps/>
          <w:sz w:val="28"/>
          <w:szCs w:val="28"/>
        </w:rPr>
      </w:pPr>
      <w:r w:rsidRPr="00F4739C">
        <w:rPr>
          <w:rFonts w:ascii="Times New Roman" w:hAnsi="Times New Roman" w:cs="Times New Roman"/>
          <w:smallCaps/>
          <w:sz w:val="28"/>
          <w:szCs w:val="28"/>
        </w:rPr>
        <w:t>conclusion</w:t>
      </w:r>
      <w:r w:rsidR="001F76CA">
        <w:rPr>
          <w:rFonts w:ascii="Times New Roman" w:hAnsi="Times New Roman" w:cs="Times New Roman"/>
          <w:smallCaps/>
          <w:sz w:val="28"/>
          <w:szCs w:val="28"/>
        </w:rPr>
        <w:t xml:space="preserve"> </w:t>
      </w:r>
    </w:p>
    <w:p w14:paraId="1F309ED8" w14:textId="77777777" w:rsidR="001F76CA" w:rsidRDefault="001F76CA" w:rsidP="00105FCE">
      <w:pPr>
        <w:jc w:val="both"/>
        <w:rPr>
          <w:rFonts w:ascii="Times New Roman" w:hAnsi="Times New Roman" w:cs="Times New Roman"/>
          <w:smallCaps/>
          <w:sz w:val="28"/>
          <w:szCs w:val="28"/>
        </w:rPr>
      </w:pPr>
    </w:p>
    <w:p w14:paraId="1CC27F5B" w14:textId="7214B354" w:rsidR="00545D33" w:rsidRPr="00F4739C" w:rsidRDefault="001F76CA" w:rsidP="00105FCE">
      <w:pPr>
        <w:jc w:val="both"/>
        <w:rPr>
          <w:rFonts w:ascii="Times New Roman" w:hAnsi="Times New Roman" w:cs="Times New Roman"/>
          <w:smallCaps/>
          <w:sz w:val="28"/>
          <w:szCs w:val="28"/>
        </w:rPr>
      </w:pPr>
      <w:r>
        <w:rPr>
          <w:rFonts w:ascii="Times New Roman" w:hAnsi="Times New Roman" w:cs="Times New Roman"/>
          <w:smallCaps/>
          <w:sz w:val="28"/>
          <w:szCs w:val="28"/>
        </w:rPr>
        <w:t>bibliographie</w:t>
      </w:r>
    </w:p>
    <w:p w14:paraId="06552047" w14:textId="77777777" w:rsidR="001F76CA" w:rsidRPr="00F4739C" w:rsidRDefault="001F76CA" w:rsidP="00105FCE">
      <w:pPr>
        <w:spacing w:line="360" w:lineRule="auto"/>
        <w:jc w:val="both"/>
        <w:rPr>
          <w:rFonts w:ascii="Times New Roman" w:hAnsi="Times New Roman" w:cs="Times New Roman"/>
          <w:smallCaps/>
          <w:sz w:val="28"/>
          <w:szCs w:val="28"/>
          <w:u w:val="single"/>
        </w:rPr>
      </w:pPr>
    </w:p>
    <w:p w14:paraId="6C9C92A2" w14:textId="77777777" w:rsidR="00545D33" w:rsidRDefault="00545D33" w:rsidP="00105FCE">
      <w:pPr>
        <w:spacing w:line="360" w:lineRule="auto"/>
        <w:jc w:val="both"/>
        <w:rPr>
          <w:rFonts w:ascii="Times New Roman" w:hAnsi="Times New Roman" w:cs="Times New Roman"/>
          <w:smallCaps/>
          <w:sz w:val="28"/>
          <w:szCs w:val="28"/>
          <w:u w:val="single"/>
        </w:rPr>
      </w:pPr>
    </w:p>
    <w:p w14:paraId="2959E50D" w14:textId="77777777" w:rsidR="00545D33" w:rsidRDefault="00545D33" w:rsidP="008E35ED">
      <w:pPr>
        <w:spacing w:line="360" w:lineRule="auto"/>
        <w:rPr>
          <w:rFonts w:ascii="Times New Roman" w:hAnsi="Times New Roman" w:cs="Times New Roman"/>
          <w:smallCaps/>
          <w:sz w:val="28"/>
          <w:szCs w:val="28"/>
          <w:u w:val="single"/>
        </w:rPr>
      </w:pPr>
    </w:p>
    <w:p w14:paraId="6603ED8D" w14:textId="7135ECA8" w:rsidR="004669E6" w:rsidRPr="00835B9F" w:rsidRDefault="00100419" w:rsidP="008E35ED">
      <w:pPr>
        <w:spacing w:line="360" w:lineRule="auto"/>
        <w:rPr>
          <w:rFonts w:ascii="Times New Roman" w:hAnsi="Times New Roman" w:cs="Times New Roman"/>
          <w:sz w:val="30"/>
          <w:szCs w:val="30"/>
          <w:u w:val="single"/>
        </w:rPr>
      </w:pPr>
      <w:r w:rsidRPr="00530F53">
        <w:rPr>
          <w:rFonts w:ascii="Times New Roman" w:hAnsi="Times New Roman" w:cs="Times New Roman"/>
          <w:smallCaps/>
          <w:sz w:val="28"/>
          <w:szCs w:val="28"/>
          <w:u w:val="single"/>
        </w:rPr>
        <w:t>Introduction</w:t>
      </w:r>
    </w:p>
    <w:p w14:paraId="55BFC413" w14:textId="37DEF2E4" w:rsidR="004669E6" w:rsidRDefault="004669E6" w:rsidP="00D3639F">
      <w:pPr>
        <w:spacing w:line="360" w:lineRule="auto"/>
        <w:ind w:firstLine="708"/>
        <w:jc w:val="both"/>
        <w:rPr>
          <w:rFonts w:ascii="Times New Roman" w:hAnsi="Times New Roman" w:cs="Times New Roman"/>
        </w:rPr>
      </w:pPr>
      <w:r>
        <w:rPr>
          <w:rFonts w:ascii="Times New Roman" w:hAnsi="Times New Roman" w:cs="Times New Roman"/>
        </w:rPr>
        <w:t>Le protectionnisme déguisé au sein de l’Organisat</w:t>
      </w:r>
      <w:r w:rsidR="003276E4">
        <w:rPr>
          <w:rFonts w:ascii="Times New Roman" w:hAnsi="Times New Roman" w:cs="Times New Roman"/>
        </w:rPr>
        <w:t>ion Mondiale du Commerce suscite</w:t>
      </w:r>
      <w:r>
        <w:rPr>
          <w:rFonts w:ascii="Times New Roman" w:hAnsi="Times New Roman" w:cs="Times New Roman"/>
        </w:rPr>
        <w:t xml:space="preserve"> énormément d’intérêt</w:t>
      </w:r>
      <w:r w:rsidR="004F6367">
        <w:rPr>
          <w:rFonts w:ascii="Times New Roman" w:hAnsi="Times New Roman" w:cs="Times New Roman"/>
        </w:rPr>
        <w:t>,</w:t>
      </w:r>
      <w:r w:rsidR="00835B9F">
        <w:rPr>
          <w:rFonts w:ascii="Times New Roman" w:hAnsi="Times New Roman" w:cs="Times New Roman"/>
        </w:rPr>
        <w:t xml:space="preserve"> et ce depuis de nombreuses années.</w:t>
      </w:r>
      <w:r w:rsidR="00D82D8C">
        <w:rPr>
          <w:rFonts w:ascii="Times New Roman" w:hAnsi="Times New Roman" w:cs="Times New Roman"/>
        </w:rPr>
        <w:t xml:space="preserve"> L</w:t>
      </w:r>
      <w:r w:rsidR="003276E4">
        <w:rPr>
          <w:rFonts w:ascii="Times New Roman" w:hAnsi="Times New Roman" w:cs="Times New Roman"/>
        </w:rPr>
        <w:t>’article XX de l’Accord général sur les tarifs douaniers et le commerce (GATT) autorise les gouvernements à intervenir dans les échanges à des fins de protection de la santé et de la vie des personnes et des animaux ou de préservation des végétaux</w:t>
      </w:r>
      <w:r w:rsidR="003F5580">
        <w:rPr>
          <w:rFonts w:ascii="Times New Roman" w:hAnsi="Times New Roman" w:cs="Times New Roman"/>
        </w:rPr>
        <w:t>,</w:t>
      </w:r>
      <w:r w:rsidR="003276E4">
        <w:rPr>
          <w:rFonts w:ascii="Times New Roman" w:hAnsi="Times New Roman" w:cs="Times New Roman"/>
        </w:rPr>
        <w:t xml:space="preserve"> </w:t>
      </w:r>
      <w:r w:rsidR="00D82D8C">
        <w:rPr>
          <w:rFonts w:ascii="Times New Roman" w:hAnsi="Times New Roman" w:cs="Times New Roman"/>
        </w:rPr>
        <w:t>pour autant</w:t>
      </w:r>
      <w:r w:rsidR="00835B9F">
        <w:rPr>
          <w:rFonts w:ascii="Times New Roman" w:hAnsi="Times New Roman" w:cs="Times New Roman"/>
        </w:rPr>
        <w:t xml:space="preserve"> </w:t>
      </w:r>
      <w:r w:rsidR="00D82D8C">
        <w:rPr>
          <w:rFonts w:ascii="Times New Roman" w:hAnsi="Times New Roman" w:cs="Times New Roman"/>
        </w:rPr>
        <w:t>que ces derniers n’usent pas</w:t>
      </w:r>
      <w:r w:rsidR="003F5580">
        <w:rPr>
          <w:rFonts w:ascii="Times New Roman" w:hAnsi="Times New Roman" w:cs="Times New Roman"/>
        </w:rPr>
        <w:t xml:space="preserve"> de cette intervention comme d’une forme de </w:t>
      </w:r>
      <w:r w:rsidR="00E248C0">
        <w:rPr>
          <w:rFonts w:ascii="Times New Roman" w:hAnsi="Times New Roman" w:cs="Times New Roman"/>
        </w:rPr>
        <w:t>protectionnisme déguisé.</w:t>
      </w:r>
      <w:r w:rsidR="00EE34CB">
        <w:rPr>
          <w:rFonts w:ascii="Times New Roman" w:hAnsi="Times New Roman" w:cs="Times New Roman"/>
        </w:rPr>
        <w:t xml:space="preserve"> </w:t>
      </w:r>
    </w:p>
    <w:p w14:paraId="2E75C8AD" w14:textId="77777777" w:rsidR="003276E4" w:rsidRDefault="003276E4" w:rsidP="000A2A3F">
      <w:pPr>
        <w:spacing w:line="360" w:lineRule="auto"/>
        <w:jc w:val="both"/>
        <w:rPr>
          <w:rFonts w:ascii="Times New Roman" w:hAnsi="Times New Roman" w:cs="Times New Roman"/>
        </w:rPr>
      </w:pPr>
    </w:p>
    <w:p w14:paraId="4FAFC79A" w14:textId="2C479969" w:rsidR="00D14664" w:rsidRDefault="003276E4" w:rsidP="00D3639F">
      <w:pPr>
        <w:spacing w:line="360" w:lineRule="auto"/>
        <w:ind w:firstLine="708"/>
        <w:jc w:val="both"/>
        <w:rPr>
          <w:rFonts w:ascii="Times New Roman" w:hAnsi="Times New Roman" w:cs="Times New Roman"/>
        </w:rPr>
      </w:pPr>
      <w:r>
        <w:rPr>
          <w:rFonts w:ascii="Times New Roman" w:hAnsi="Times New Roman" w:cs="Times New Roman"/>
        </w:rPr>
        <w:t>Ce mémoire se compose de deux parties</w:t>
      </w:r>
      <w:r w:rsidR="00835B9F">
        <w:rPr>
          <w:rFonts w:ascii="Times New Roman" w:hAnsi="Times New Roman" w:cs="Times New Roman"/>
        </w:rPr>
        <w:t xml:space="preserve">. </w:t>
      </w:r>
      <w:r w:rsidR="00100419">
        <w:rPr>
          <w:rFonts w:ascii="Times New Roman" w:hAnsi="Times New Roman" w:cs="Times New Roman"/>
        </w:rPr>
        <w:t>Dans la première p</w:t>
      </w:r>
      <w:r w:rsidR="00D14664">
        <w:rPr>
          <w:rFonts w:ascii="Times New Roman" w:hAnsi="Times New Roman" w:cs="Times New Roman"/>
        </w:rPr>
        <w:t xml:space="preserve">artie, il conviendra tout d’abord de se pencher </w:t>
      </w:r>
      <w:r w:rsidR="00100419">
        <w:rPr>
          <w:rFonts w:ascii="Times New Roman" w:hAnsi="Times New Roman" w:cs="Times New Roman"/>
        </w:rPr>
        <w:t xml:space="preserve">sur les notions de libre-échange et de protectionnisme ainsi que sur l’interaction entre ces deux notions. Poser les fondements du protectionnisme </w:t>
      </w:r>
      <w:r w:rsidR="004669E6">
        <w:rPr>
          <w:rFonts w:ascii="Times New Roman" w:hAnsi="Times New Roman" w:cs="Times New Roman"/>
        </w:rPr>
        <w:t xml:space="preserve">et </w:t>
      </w:r>
      <w:r w:rsidR="00100419">
        <w:rPr>
          <w:rFonts w:ascii="Times New Roman" w:hAnsi="Times New Roman" w:cs="Times New Roman"/>
        </w:rPr>
        <w:t xml:space="preserve">les différentes techniques par lesquels les Etats adoptent des mesures protectionnistes permettra d’avoir une meilleure compréhension </w:t>
      </w:r>
      <w:r w:rsidR="00D14664">
        <w:rPr>
          <w:rFonts w:ascii="Times New Roman" w:hAnsi="Times New Roman" w:cs="Times New Roman"/>
        </w:rPr>
        <w:t xml:space="preserve">de l’analyse des </w:t>
      </w:r>
      <w:r w:rsidR="00100419">
        <w:rPr>
          <w:rFonts w:ascii="Times New Roman" w:hAnsi="Times New Roman" w:cs="Times New Roman"/>
        </w:rPr>
        <w:t xml:space="preserve">arrêts </w:t>
      </w:r>
      <w:r w:rsidR="00100419" w:rsidRPr="00061FF9">
        <w:rPr>
          <w:rFonts w:ascii="Times New Roman" w:hAnsi="Times New Roman" w:cs="Times New Roman"/>
        </w:rPr>
        <w:t>de la jurisprudence de</w:t>
      </w:r>
      <w:r w:rsidR="00100419">
        <w:rPr>
          <w:rFonts w:ascii="Times New Roman" w:hAnsi="Times New Roman" w:cs="Times New Roman"/>
        </w:rPr>
        <w:t xml:space="preserve"> l’OMC dans lesquels un protectionnisme déguisé est soupçonné</w:t>
      </w:r>
      <w:r w:rsidR="007F3BB5">
        <w:rPr>
          <w:rFonts w:ascii="Times New Roman" w:hAnsi="Times New Roman" w:cs="Times New Roman"/>
        </w:rPr>
        <w:t>.</w:t>
      </w:r>
      <w:r w:rsidR="00835B9F">
        <w:rPr>
          <w:rFonts w:ascii="Times New Roman" w:hAnsi="Times New Roman" w:cs="Times New Roman"/>
        </w:rPr>
        <w:t xml:space="preserve"> </w:t>
      </w:r>
      <w:r w:rsidR="00954132">
        <w:rPr>
          <w:rFonts w:ascii="Times New Roman" w:hAnsi="Times New Roman" w:cs="Times New Roman"/>
        </w:rPr>
        <w:t>De plus, un rapide aperçu de l</w:t>
      </w:r>
      <w:r w:rsidR="007F3BB5">
        <w:rPr>
          <w:rFonts w:ascii="Times New Roman" w:hAnsi="Times New Roman" w:cs="Times New Roman"/>
        </w:rPr>
        <w:t>a</w:t>
      </w:r>
      <w:r w:rsidR="00D14664">
        <w:rPr>
          <w:rFonts w:ascii="Times New Roman" w:hAnsi="Times New Roman" w:cs="Times New Roman"/>
        </w:rPr>
        <w:t xml:space="preserve"> mondialisation des échanges,</w:t>
      </w:r>
      <w:r w:rsidR="00954132">
        <w:rPr>
          <w:rFonts w:ascii="Times New Roman" w:hAnsi="Times New Roman" w:cs="Times New Roman"/>
        </w:rPr>
        <w:t xml:space="preserve"> de</w:t>
      </w:r>
      <w:r w:rsidR="00D14664">
        <w:rPr>
          <w:rFonts w:ascii="Times New Roman" w:hAnsi="Times New Roman" w:cs="Times New Roman"/>
        </w:rPr>
        <w:t xml:space="preserve"> la s</w:t>
      </w:r>
      <w:r w:rsidR="00954132">
        <w:rPr>
          <w:rFonts w:ascii="Times New Roman" w:hAnsi="Times New Roman" w:cs="Times New Roman"/>
        </w:rPr>
        <w:t xml:space="preserve">ouveraineté des Etats ainsi que de </w:t>
      </w:r>
      <w:r w:rsidR="00D14664">
        <w:rPr>
          <w:rFonts w:ascii="Times New Roman" w:hAnsi="Times New Roman" w:cs="Times New Roman"/>
        </w:rPr>
        <w:t>la prot</w:t>
      </w:r>
      <w:r w:rsidR="007F3BB5">
        <w:rPr>
          <w:rFonts w:ascii="Times New Roman" w:hAnsi="Times New Roman" w:cs="Times New Roman"/>
        </w:rPr>
        <w:t xml:space="preserve">ection de l’environnement </w:t>
      </w:r>
      <w:r w:rsidR="00954132">
        <w:rPr>
          <w:rFonts w:ascii="Times New Roman" w:hAnsi="Times New Roman" w:cs="Times New Roman"/>
        </w:rPr>
        <w:t xml:space="preserve">au sein du débat commerce/environnement </w:t>
      </w:r>
      <w:r w:rsidR="007F3BB5">
        <w:rPr>
          <w:rFonts w:ascii="Times New Roman" w:hAnsi="Times New Roman" w:cs="Times New Roman"/>
        </w:rPr>
        <w:t>se</w:t>
      </w:r>
      <w:r w:rsidR="004F6367">
        <w:rPr>
          <w:rFonts w:ascii="Times New Roman" w:hAnsi="Times New Roman" w:cs="Times New Roman"/>
        </w:rPr>
        <w:t>mble</w:t>
      </w:r>
      <w:r w:rsidR="00835B9F">
        <w:rPr>
          <w:rFonts w:ascii="Times New Roman" w:hAnsi="Times New Roman" w:cs="Times New Roman"/>
        </w:rPr>
        <w:t xml:space="preserve"> également être pertinent</w:t>
      </w:r>
      <w:r w:rsidR="007F3BB5">
        <w:rPr>
          <w:rFonts w:ascii="Times New Roman" w:hAnsi="Times New Roman" w:cs="Times New Roman"/>
        </w:rPr>
        <w:t xml:space="preserve"> en vue d’apprécier </w:t>
      </w:r>
      <w:r w:rsidR="00835B9F">
        <w:rPr>
          <w:rFonts w:ascii="Times New Roman" w:hAnsi="Times New Roman" w:cs="Times New Roman"/>
        </w:rPr>
        <w:t xml:space="preserve">l’analyse </w:t>
      </w:r>
      <w:r w:rsidR="00E444D6">
        <w:rPr>
          <w:rFonts w:ascii="Times New Roman" w:hAnsi="Times New Roman" w:cs="Times New Roman"/>
        </w:rPr>
        <w:t>des différente</w:t>
      </w:r>
      <w:r w:rsidR="00835B9F">
        <w:rPr>
          <w:rFonts w:ascii="Times New Roman" w:hAnsi="Times New Roman" w:cs="Times New Roman"/>
        </w:rPr>
        <w:t>s affaires explicitée</w:t>
      </w:r>
      <w:r w:rsidR="00E444D6">
        <w:rPr>
          <w:rFonts w:ascii="Times New Roman" w:hAnsi="Times New Roman" w:cs="Times New Roman"/>
        </w:rPr>
        <w:t>s</w:t>
      </w:r>
      <w:r w:rsidR="00835B9F">
        <w:rPr>
          <w:rFonts w:ascii="Times New Roman" w:hAnsi="Times New Roman" w:cs="Times New Roman"/>
        </w:rPr>
        <w:t xml:space="preserve"> dans </w:t>
      </w:r>
      <w:r w:rsidR="007F3BB5">
        <w:rPr>
          <w:rFonts w:ascii="Times New Roman" w:hAnsi="Times New Roman" w:cs="Times New Roman"/>
        </w:rPr>
        <w:t xml:space="preserve">la seconde partie. </w:t>
      </w:r>
    </w:p>
    <w:p w14:paraId="0BE41C5B" w14:textId="77777777" w:rsidR="00D14664" w:rsidRDefault="00D14664" w:rsidP="000A2A3F">
      <w:pPr>
        <w:spacing w:line="360" w:lineRule="auto"/>
        <w:jc w:val="both"/>
        <w:rPr>
          <w:rFonts w:ascii="Times New Roman" w:hAnsi="Times New Roman" w:cs="Times New Roman"/>
        </w:rPr>
      </w:pPr>
    </w:p>
    <w:p w14:paraId="76257F5A" w14:textId="06FF9B9B" w:rsidR="00AA3B2C" w:rsidRDefault="00100419" w:rsidP="00D3639F">
      <w:pPr>
        <w:spacing w:line="360" w:lineRule="auto"/>
        <w:ind w:firstLine="708"/>
        <w:jc w:val="both"/>
        <w:rPr>
          <w:rFonts w:ascii="Times New Roman" w:hAnsi="Times New Roman" w:cs="Times New Roman"/>
        </w:rPr>
      </w:pPr>
      <w:r>
        <w:rPr>
          <w:rFonts w:ascii="Times New Roman" w:hAnsi="Times New Roman" w:cs="Times New Roman"/>
        </w:rPr>
        <w:t xml:space="preserve">Ainsi, il apparaît que </w:t>
      </w:r>
      <w:r w:rsidR="007F3BB5">
        <w:rPr>
          <w:rFonts w:ascii="Times New Roman" w:hAnsi="Times New Roman" w:cs="Times New Roman"/>
        </w:rPr>
        <w:t xml:space="preserve">de nombreux </w:t>
      </w:r>
      <w:r>
        <w:rPr>
          <w:rFonts w:ascii="Times New Roman" w:hAnsi="Times New Roman" w:cs="Times New Roman"/>
        </w:rPr>
        <w:t xml:space="preserve">arrêts ont véritablement </w:t>
      </w:r>
      <w:r w:rsidRPr="00D3639F">
        <w:rPr>
          <w:rFonts w:ascii="Times New Roman" w:hAnsi="Times New Roman" w:cs="Times New Roman"/>
        </w:rPr>
        <w:t>jalonné</w:t>
      </w:r>
      <w:r>
        <w:rPr>
          <w:rFonts w:ascii="Times New Roman" w:hAnsi="Times New Roman" w:cs="Times New Roman"/>
        </w:rPr>
        <w:t xml:space="preserve"> l’évolution de la jurisprudence et </w:t>
      </w:r>
      <w:r w:rsidR="004669E6">
        <w:rPr>
          <w:rFonts w:ascii="Times New Roman" w:hAnsi="Times New Roman" w:cs="Times New Roman"/>
        </w:rPr>
        <w:t>permettent</w:t>
      </w:r>
      <w:r w:rsidR="008E35ED">
        <w:rPr>
          <w:rFonts w:ascii="Times New Roman" w:hAnsi="Times New Roman" w:cs="Times New Roman"/>
        </w:rPr>
        <w:t xml:space="preserve"> d’apprécier</w:t>
      </w:r>
      <w:r>
        <w:rPr>
          <w:rFonts w:ascii="Times New Roman" w:hAnsi="Times New Roman" w:cs="Times New Roman"/>
        </w:rPr>
        <w:t xml:space="preserve"> les positions prises par l’OMC lorsqu’un Etat tente de favoriser sa production nationale en invoquant l’article XX du GATT afin de demander une </w:t>
      </w:r>
      <w:r w:rsidRPr="00D3639F">
        <w:rPr>
          <w:rFonts w:ascii="Times New Roman" w:hAnsi="Times New Roman" w:cs="Times New Roman"/>
        </w:rPr>
        <w:t xml:space="preserve">dérogation </w:t>
      </w:r>
      <w:r w:rsidR="00D82D8C" w:rsidRPr="00D3639F">
        <w:rPr>
          <w:rFonts w:ascii="Times New Roman" w:hAnsi="Times New Roman" w:cs="Times New Roman"/>
        </w:rPr>
        <w:t>autorisant à</w:t>
      </w:r>
      <w:r w:rsidRPr="00D3639F">
        <w:rPr>
          <w:rFonts w:ascii="Times New Roman" w:hAnsi="Times New Roman" w:cs="Times New Roman"/>
        </w:rPr>
        <w:t xml:space="preserve"> contourner</w:t>
      </w:r>
      <w:r>
        <w:rPr>
          <w:rFonts w:ascii="Times New Roman" w:hAnsi="Times New Roman" w:cs="Times New Roman"/>
        </w:rPr>
        <w:t xml:space="preserve"> les règles de l’OMC. Il découle de ceci que les conditions permettant de recourir aux exceptions prévues à l’article XX du GATT doivent être scrupuleusement respectées par les Etats sous peine de se voir accuser de mesures protectionnistes. </w:t>
      </w:r>
      <w:r w:rsidR="004669E6">
        <w:rPr>
          <w:rFonts w:ascii="Times New Roman" w:hAnsi="Times New Roman" w:cs="Times New Roman"/>
        </w:rPr>
        <w:t>Pour ce faire, l</w:t>
      </w:r>
      <w:r w:rsidR="00954132" w:rsidRPr="00AA3B2C">
        <w:rPr>
          <w:rFonts w:ascii="Times New Roman" w:hAnsi="Times New Roman" w:cs="Times New Roman"/>
        </w:rPr>
        <w:t>e</w:t>
      </w:r>
      <w:r w:rsidR="00954132">
        <w:rPr>
          <w:rFonts w:ascii="Times New Roman" w:hAnsi="Times New Roman" w:cs="Times New Roman"/>
        </w:rPr>
        <w:t xml:space="preserve"> chapeau et l</w:t>
      </w:r>
      <w:r>
        <w:rPr>
          <w:rFonts w:ascii="Times New Roman" w:hAnsi="Times New Roman" w:cs="Times New Roman"/>
        </w:rPr>
        <w:t xml:space="preserve">es paragraphes </w:t>
      </w:r>
      <w:r w:rsidRPr="007F3BB5">
        <w:rPr>
          <w:rFonts w:ascii="Times New Roman" w:hAnsi="Times New Roman" w:cs="Times New Roman"/>
          <w:i/>
        </w:rPr>
        <w:t>b)</w:t>
      </w:r>
      <w:r>
        <w:rPr>
          <w:rFonts w:ascii="Times New Roman" w:hAnsi="Times New Roman" w:cs="Times New Roman"/>
        </w:rPr>
        <w:t xml:space="preserve"> et </w:t>
      </w:r>
      <w:r w:rsidRPr="007F3BB5">
        <w:rPr>
          <w:rFonts w:ascii="Times New Roman" w:hAnsi="Times New Roman" w:cs="Times New Roman"/>
          <w:i/>
        </w:rPr>
        <w:t>g)</w:t>
      </w:r>
      <w:r>
        <w:rPr>
          <w:rFonts w:ascii="Times New Roman" w:hAnsi="Times New Roman" w:cs="Times New Roman"/>
        </w:rPr>
        <w:t xml:space="preserve"> de l’article XX</w:t>
      </w:r>
      <w:r w:rsidR="00AA3B2C">
        <w:rPr>
          <w:rFonts w:ascii="Times New Roman" w:hAnsi="Times New Roman" w:cs="Times New Roman"/>
        </w:rPr>
        <w:t xml:space="preserve"> </w:t>
      </w:r>
      <w:r w:rsidR="00954132">
        <w:rPr>
          <w:rFonts w:ascii="Times New Roman" w:hAnsi="Times New Roman" w:cs="Times New Roman"/>
        </w:rPr>
        <w:t xml:space="preserve">feront l’objet d’un examen </w:t>
      </w:r>
      <w:r w:rsidR="00D82D8C">
        <w:rPr>
          <w:rFonts w:ascii="Times New Roman" w:hAnsi="Times New Roman" w:cs="Times New Roman"/>
        </w:rPr>
        <w:t>approfondi. L</w:t>
      </w:r>
      <w:r w:rsidR="00AA3B2C">
        <w:rPr>
          <w:rFonts w:ascii="Times New Roman" w:hAnsi="Times New Roman" w:cs="Times New Roman"/>
        </w:rPr>
        <w:t xml:space="preserve">es différentes conditions permettant une dérogation pour des raisons portant sur la protection de la santé et de l’environnement seront appréciées au travers des affaires </w:t>
      </w:r>
      <w:r w:rsidR="00AA3B2C" w:rsidRPr="00385484">
        <w:rPr>
          <w:rFonts w:ascii="Times New Roman" w:hAnsi="Times New Roman" w:cs="Times New Roman"/>
          <w:i/>
        </w:rPr>
        <w:t>Thon 1982</w:t>
      </w:r>
      <w:r w:rsidR="00AA3B2C">
        <w:rPr>
          <w:rFonts w:ascii="Times New Roman" w:hAnsi="Times New Roman" w:cs="Times New Roman"/>
        </w:rPr>
        <w:t xml:space="preserve">, </w:t>
      </w:r>
      <w:r w:rsidR="00AA3B2C" w:rsidRPr="00385484">
        <w:rPr>
          <w:rFonts w:ascii="Times New Roman" w:hAnsi="Times New Roman" w:cs="Times New Roman"/>
          <w:i/>
        </w:rPr>
        <w:t>Thon I</w:t>
      </w:r>
      <w:r w:rsidR="00AA3B2C">
        <w:rPr>
          <w:rFonts w:ascii="Times New Roman" w:hAnsi="Times New Roman" w:cs="Times New Roman"/>
        </w:rPr>
        <w:t xml:space="preserve"> et </w:t>
      </w:r>
      <w:r w:rsidR="00AA3B2C" w:rsidRPr="00385484">
        <w:rPr>
          <w:rFonts w:ascii="Times New Roman" w:hAnsi="Times New Roman" w:cs="Times New Roman"/>
          <w:i/>
        </w:rPr>
        <w:t>II</w:t>
      </w:r>
      <w:r w:rsidR="00AA3B2C">
        <w:rPr>
          <w:rFonts w:ascii="Times New Roman" w:hAnsi="Times New Roman" w:cs="Times New Roman"/>
        </w:rPr>
        <w:t xml:space="preserve">, </w:t>
      </w:r>
      <w:r w:rsidR="00AA3B2C" w:rsidRPr="00385484">
        <w:rPr>
          <w:rFonts w:ascii="Times New Roman" w:hAnsi="Times New Roman" w:cs="Times New Roman"/>
          <w:i/>
        </w:rPr>
        <w:t>Cigarettes</w:t>
      </w:r>
      <w:r w:rsidR="00AA3B2C">
        <w:rPr>
          <w:rFonts w:ascii="Times New Roman" w:hAnsi="Times New Roman" w:cs="Times New Roman"/>
        </w:rPr>
        <w:t xml:space="preserve">, </w:t>
      </w:r>
      <w:r w:rsidR="00AA3B2C" w:rsidRPr="00385484">
        <w:rPr>
          <w:rFonts w:ascii="Times New Roman" w:hAnsi="Times New Roman" w:cs="Times New Roman"/>
          <w:i/>
        </w:rPr>
        <w:t>Saumons/Harengs</w:t>
      </w:r>
      <w:r w:rsidR="00AA3B2C">
        <w:rPr>
          <w:rFonts w:ascii="Times New Roman" w:hAnsi="Times New Roman" w:cs="Times New Roman"/>
        </w:rPr>
        <w:t xml:space="preserve">, </w:t>
      </w:r>
      <w:r w:rsidR="00AA3B2C" w:rsidRPr="00385484">
        <w:rPr>
          <w:rFonts w:ascii="Times New Roman" w:hAnsi="Times New Roman" w:cs="Times New Roman"/>
          <w:i/>
        </w:rPr>
        <w:t>Essence</w:t>
      </w:r>
      <w:r w:rsidR="00C14253">
        <w:rPr>
          <w:rFonts w:ascii="Times New Roman" w:hAnsi="Times New Roman" w:cs="Times New Roman"/>
        </w:rPr>
        <w:t xml:space="preserve">, </w:t>
      </w:r>
      <w:r w:rsidR="00AA3B2C" w:rsidRPr="00385484">
        <w:rPr>
          <w:rFonts w:ascii="Times New Roman" w:hAnsi="Times New Roman" w:cs="Times New Roman"/>
          <w:i/>
        </w:rPr>
        <w:t>Crevettes</w:t>
      </w:r>
      <w:r w:rsidR="00C14253">
        <w:rPr>
          <w:rFonts w:ascii="Times New Roman" w:hAnsi="Times New Roman" w:cs="Times New Roman"/>
        </w:rPr>
        <w:t xml:space="preserve"> et </w:t>
      </w:r>
      <w:r w:rsidR="00C14253" w:rsidRPr="00C14253">
        <w:rPr>
          <w:rFonts w:ascii="Times New Roman" w:hAnsi="Times New Roman" w:cs="Times New Roman"/>
          <w:i/>
        </w:rPr>
        <w:t>Amiante</w:t>
      </w:r>
      <w:r w:rsidR="00C14253">
        <w:rPr>
          <w:rFonts w:ascii="Times New Roman" w:hAnsi="Times New Roman" w:cs="Times New Roman"/>
        </w:rPr>
        <w:t>.</w:t>
      </w:r>
    </w:p>
    <w:p w14:paraId="0561B493" w14:textId="77777777" w:rsidR="006219FC" w:rsidRDefault="006219FC" w:rsidP="00D3639F">
      <w:pPr>
        <w:spacing w:line="360" w:lineRule="auto"/>
        <w:ind w:firstLine="708"/>
        <w:jc w:val="both"/>
        <w:rPr>
          <w:rFonts w:ascii="Times New Roman" w:hAnsi="Times New Roman" w:cs="Times New Roman"/>
        </w:rPr>
      </w:pPr>
    </w:p>
    <w:p w14:paraId="1EB32503" w14:textId="77777777" w:rsidR="006219FC" w:rsidRPr="00CF6A1A" w:rsidRDefault="006219FC" w:rsidP="006219FC">
      <w:pPr>
        <w:spacing w:line="360" w:lineRule="auto"/>
        <w:ind w:firstLine="708"/>
        <w:jc w:val="both"/>
        <w:rPr>
          <w:rFonts w:ascii="Times New Roman" w:hAnsi="Times New Roman" w:cs="Times New Roman"/>
        </w:rPr>
      </w:pPr>
      <w:r>
        <w:rPr>
          <w:rFonts w:ascii="Times New Roman" w:hAnsi="Times New Roman" w:cs="Times New Roman"/>
        </w:rPr>
        <w:t>Il conviendra de poser des constatations mûrement réfléchies à la suite de l’analyse de cette jurisprudence tant abondante qu’attrayante afin d’en retirer un enrichissement personnel.</w:t>
      </w:r>
    </w:p>
    <w:p w14:paraId="10592A32" w14:textId="77777777" w:rsidR="006219FC" w:rsidRPr="005F2794" w:rsidRDefault="006219FC" w:rsidP="00D3639F">
      <w:pPr>
        <w:spacing w:line="360" w:lineRule="auto"/>
        <w:ind w:firstLine="708"/>
        <w:jc w:val="both"/>
        <w:rPr>
          <w:rFonts w:ascii="Times New Roman" w:hAnsi="Times New Roman" w:cs="Times New Roman"/>
        </w:rPr>
      </w:pPr>
    </w:p>
    <w:p w14:paraId="0025FC67" w14:textId="4DC67890" w:rsidR="00127E1B" w:rsidRPr="00EE34CB" w:rsidRDefault="00127E1B" w:rsidP="00DE4BC5">
      <w:pPr>
        <w:spacing w:line="360" w:lineRule="auto"/>
        <w:jc w:val="both"/>
        <w:rPr>
          <w:rFonts w:ascii="Times New Roman" w:hAnsi="Times New Roman" w:cs="Times New Roman"/>
          <w:smallCaps/>
        </w:rPr>
      </w:pPr>
      <w:r w:rsidRPr="00EE34CB">
        <w:rPr>
          <w:rFonts w:ascii="Times New Roman" w:hAnsi="Times New Roman" w:cs="Times New Roman"/>
          <w:smallCaps/>
          <w:sz w:val="28"/>
          <w:szCs w:val="28"/>
          <w:u w:val="single"/>
        </w:rPr>
        <w:t>Titre I. Le protectionnisme et le libre échange, deux objectifs antagonistes au sein de l’OMC?</w:t>
      </w:r>
    </w:p>
    <w:p w14:paraId="4C50B09E" w14:textId="77777777" w:rsidR="00127E1B" w:rsidRDefault="00127E1B" w:rsidP="00127E1B">
      <w:pPr>
        <w:jc w:val="both"/>
        <w:rPr>
          <w:rFonts w:ascii="Times New Roman" w:hAnsi="Times New Roman" w:cs="Times New Roman"/>
        </w:rPr>
      </w:pPr>
    </w:p>
    <w:p w14:paraId="4E9475E4" w14:textId="166C5872" w:rsidR="00127E1B" w:rsidRPr="00EE34CB" w:rsidRDefault="00B06B01" w:rsidP="00127E1B">
      <w:pPr>
        <w:spacing w:line="360" w:lineRule="auto"/>
        <w:jc w:val="both"/>
        <w:rPr>
          <w:rFonts w:ascii="Times New Roman" w:hAnsi="Times New Roman" w:cs="Times New Roman"/>
          <w:b/>
          <w:bCs/>
          <w:smallCaps/>
        </w:rPr>
      </w:pPr>
      <w:r>
        <w:rPr>
          <w:rFonts w:ascii="Times New Roman" w:hAnsi="Times New Roman" w:cs="Times New Roman"/>
          <w:b/>
          <w:bCs/>
          <w:smallCaps/>
        </w:rPr>
        <w:t>Chapitre I</w:t>
      </w:r>
      <w:r w:rsidR="00127E1B" w:rsidRPr="00EE34CB">
        <w:rPr>
          <w:rFonts w:ascii="Times New Roman" w:hAnsi="Times New Roman" w:cs="Times New Roman"/>
          <w:b/>
          <w:bCs/>
          <w:smallCaps/>
        </w:rPr>
        <w:t xml:space="preserve">. La notion de mercantilisme </w:t>
      </w:r>
    </w:p>
    <w:p w14:paraId="0D25A9E9" w14:textId="16781FEB" w:rsidR="00127E1B" w:rsidRPr="00947BD1" w:rsidRDefault="00127E1B" w:rsidP="00127E1B">
      <w:pPr>
        <w:spacing w:line="360" w:lineRule="auto"/>
        <w:jc w:val="both"/>
        <w:rPr>
          <w:rFonts w:ascii="Times New Roman" w:hAnsi="Times New Roman" w:cs="Times New Roman"/>
        </w:rPr>
      </w:pPr>
      <w:r w:rsidRPr="00947BD1">
        <w:rPr>
          <w:rFonts w:ascii="Times New Roman" w:hAnsi="Times New Roman" w:cs="Times New Roman"/>
        </w:rPr>
        <w:t>Le mercantilisme, forme ancienne de protectionnisme, est un courant économique qui a émergé au XVI</w:t>
      </w:r>
      <w:r w:rsidRPr="00947BD1">
        <w:rPr>
          <w:rFonts w:ascii="Times New Roman" w:hAnsi="Times New Roman" w:cs="Times New Roman"/>
          <w:vertAlign w:val="superscript"/>
        </w:rPr>
        <w:t>e</w:t>
      </w:r>
      <w:r w:rsidRPr="00947BD1">
        <w:rPr>
          <w:rFonts w:ascii="Times New Roman" w:hAnsi="Times New Roman" w:cs="Times New Roman"/>
        </w:rPr>
        <w:t xml:space="preserve"> siècle</w:t>
      </w:r>
      <w:r w:rsidRPr="00947BD1">
        <w:rPr>
          <w:rStyle w:val="Marquenotebasdepage"/>
          <w:rFonts w:ascii="Times New Roman" w:hAnsi="Times New Roman" w:cs="Times New Roman"/>
        </w:rPr>
        <w:footnoteReference w:id="1"/>
      </w:r>
      <w:r w:rsidRPr="00947BD1">
        <w:rPr>
          <w:rFonts w:ascii="Times New Roman" w:hAnsi="Times New Roman" w:cs="Times New Roman"/>
        </w:rPr>
        <w:t xml:space="preserve">. Au sens étymologique du terme, le mercantilisme vient, d’une part, du latin </w:t>
      </w:r>
      <w:r w:rsidRPr="00207536">
        <w:rPr>
          <w:rFonts w:ascii="Times New Roman" w:hAnsi="Times New Roman" w:cs="Times New Roman"/>
          <w:i/>
        </w:rPr>
        <w:t>mercar</w:t>
      </w:r>
      <w:r w:rsidR="00D14664" w:rsidRPr="00207536">
        <w:rPr>
          <w:rFonts w:ascii="Times New Roman" w:hAnsi="Times New Roman" w:cs="Times New Roman"/>
          <w:i/>
        </w:rPr>
        <w:t xml:space="preserve">i </w:t>
      </w:r>
      <w:r w:rsidRPr="00207536">
        <w:rPr>
          <w:rFonts w:ascii="Times New Roman" w:hAnsi="Times New Roman" w:cs="Times New Roman"/>
        </w:rPr>
        <w:t xml:space="preserve"> qui</w:t>
      </w:r>
      <w:r w:rsidRPr="00947BD1">
        <w:rPr>
          <w:rFonts w:ascii="Times New Roman" w:hAnsi="Times New Roman" w:cs="Times New Roman"/>
        </w:rPr>
        <w:t xml:space="preserve"> signifie « faire du commerce » et, d’autre part, de la racine </w:t>
      </w:r>
      <w:r w:rsidRPr="00947BD1">
        <w:rPr>
          <w:rFonts w:ascii="Times New Roman" w:hAnsi="Times New Roman" w:cs="Times New Roman"/>
          <w:i/>
        </w:rPr>
        <w:t>merx</w:t>
      </w:r>
      <w:r w:rsidRPr="00947BD1">
        <w:rPr>
          <w:rFonts w:ascii="Times New Roman" w:hAnsi="Times New Roman" w:cs="Times New Roman"/>
        </w:rPr>
        <w:t xml:space="preserve"> qui désigne la marchandise</w:t>
      </w:r>
      <w:r w:rsidRPr="00947BD1">
        <w:rPr>
          <w:rStyle w:val="Marquenotebasdepage"/>
          <w:rFonts w:ascii="Times New Roman" w:hAnsi="Times New Roman" w:cs="Times New Roman"/>
        </w:rPr>
        <w:footnoteReference w:id="2"/>
      </w:r>
      <w:r w:rsidRPr="00947BD1">
        <w:rPr>
          <w:rFonts w:ascii="Times New Roman" w:hAnsi="Times New Roman" w:cs="Times New Roman"/>
        </w:rPr>
        <w:t xml:space="preserve">. </w:t>
      </w:r>
    </w:p>
    <w:p w14:paraId="78F3FF25" w14:textId="77777777" w:rsidR="00127E1B" w:rsidRPr="00947BD1" w:rsidRDefault="00127E1B" w:rsidP="00127E1B">
      <w:pPr>
        <w:spacing w:line="360" w:lineRule="auto"/>
        <w:jc w:val="both"/>
        <w:rPr>
          <w:rFonts w:ascii="Times New Roman" w:hAnsi="Times New Roman" w:cs="Times New Roman"/>
        </w:rPr>
      </w:pPr>
    </w:p>
    <w:p w14:paraId="439034CA" w14:textId="77777777" w:rsidR="00127E1B" w:rsidRDefault="00127E1B" w:rsidP="00127E1B">
      <w:pPr>
        <w:spacing w:line="360" w:lineRule="auto"/>
        <w:jc w:val="both"/>
        <w:rPr>
          <w:rFonts w:ascii="Times New Roman" w:hAnsi="Times New Roman" w:cs="Times New Roman"/>
        </w:rPr>
      </w:pPr>
      <w:r w:rsidRPr="00947BD1">
        <w:rPr>
          <w:rFonts w:ascii="Times New Roman" w:hAnsi="Times New Roman" w:cs="Times New Roman"/>
        </w:rPr>
        <w:t>Selon la doctrine mercantiliste, la richesse d’un Etat dépend de la possession de métaux précieux</w:t>
      </w:r>
      <w:r w:rsidRPr="00947BD1">
        <w:rPr>
          <w:rStyle w:val="Marquenotebasdepage"/>
          <w:rFonts w:ascii="Times New Roman" w:hAnsi="Times New Roman" w:cs="Times New Roman"/>
        </w:rPr>
        <w:footnoteReference w:id="3"/>
      </w:r>
      <w:r w:rsidRPr="00947BD1">
        <w:rPr>
          <w:rFonts w:ascii="Times New Roman" w:hAnsi="Times New Roman" w:cs="Times New Roman"/>
        </w:rPr>
        <w:t>, de sorte que l’Etat doit mettre en œuvre tous les moyens afin de permettre une accumulation d’or et d’argent</w:t>
      </w:r>
      <w:r w:rsidRPr="00947BD1">
        <w:rPr>
          <w:rStyle w:val="Marquenotebasdepage"/>
          <w:rFonts w:ascii="Times New Roman" w:hAnsi="Times New Roman" w:cs="Times New Roman"/>
        </w:rPr>
        <w:footnoteReference w:id="4"/>
      </w:r>
      <w:r w:rsidRPr="00947BD1">
        <w:rPr>
          <w:rFonts w:ascii="Times New Roman" w:hAnsi="Times New Roman" w:cs="Times New Roman"/>
        </w:rPr>
        <w:t>. Il intervient par conséquent dans l’économie afin de favoriser l’enrichissement monétaire</w:t>
      </w:r>
      <w:r w:rsidRPr="00947BD1">
        <w:rPr>
          <w:rStyle w:val="Marquenotebasdepage"/>
          <w:rFonts w:ascii="Times New Roman" w:hAnsi="Times New Roman" w:cs="Times New Roman"/>
        </w:rPr>
        <w:footnoteReference w:id="5"/>
      </w:r>
      <w:r w:rsidRPr="00947BD1">
        <w:rPr>
          <w:rFonts w:ascii="Times New Roman" w:hAnsi="Times New Roman" w:cs="Times New Roman"/>
        </w:rPr>
        <w:t xml:space="preserve">. </w:t>
      </w:r>
    </w:p>
    <w:p w14:paraId="0E45F716" w14:textId="77777777" w:rsidR="00127E1B" w:rsidRDefault="00127E1B" w:rsidP="00127E1B">
      <w:pPr>
        <w:spacing w:line="360" w:lineRule="auto"/>
        <w:jc w:val="both"/>
        <w:rPr>
          <w:rFonts w:ascii="Times New Roman" w:hAnsi="Times New Roman" w:cs="Times New Roman"/>
        </w:rPr>
      </w:pPr>
    </w:p>
    <w:p w14:paraId="2D24C855" w14:textId="77777777" w:rsidR="00127E1B" w:rsidRPr="00947BD1" w:rsidRDefault="00127E1B" w:rsidP="00127E1B">
      <w:pPr>
        <w:spacing w:line="360" w:lineRule="auto"/>
        <w:jc w:val="both"/>
        <w:rPr>
          <w:rFonts w:ascii="Times New Roman" w:hAnsi="Times New Roman" w:cs="Times New Roman"/>
        </w:rPr>
      </w:pPr>
      <w:r w:rsidRPr="00947BD1">
        <w:rPr>
          <w:rFonts w:ascii="Times New Roman" w:hAnsi="Times New Roman" w:cs="Times New Roman"/>
        </w:rPr>
        <w:t>Dès lors que le mercantilisme tend à renforcer la puissance étatique</w:t>
      </w:r>
      <w:r w:rsidRPr="00947BD1">
        <w:rPr>
          <w:rStyle w:val="Marquenotebasdepage"/>
          <w:rFonts w:ascii="Times New Roman" w:hAnsi="Times New Roman" w:cs="Times New Roman"/>
        </w:rPr>
        <w:footnoteReference w:id="6"/>
      </w:r>
      <w:r w:rsidRPr="00947BD1">
        <w:rPr>
          <w:rFonts w:ascii="Times New Roman" w:hAnsi="Times New Roman" w:cs="Times New Roman"/>
        </w:rPr>
        <w:t>, il revient à l’Etat de conserver ses richesses à l’intérieur du pays, d’une part, en favorisant l’accroissement des exportations par le biais de subventions et, d’autre part, en limitant les importations et en procédant à une augmentation des droits de douane</w:t>
      </w:r>
      <w:r w:rsidRPr="00947BD1">
        <w:rPr>
          <w:rStyle w:val="Marquenotebasdepage"/>
          <w:rFonts w:ascii="Times New Roman" w:hAnsi="Times New Roman" w:cs="Times New Roman"/>
        </w:rPr>
        <w:footnoteReference w:id="7"/>
      </w:r>
      <w:r w:rsidRPr="00947BD1">
        <w:rPr>
          <w:rFonts w:ascii="Times New Roman" w:hAnsi="Times New Roman" w:cs="Times New Roman"/>
        </w:rPr>
        <w:t xml:space="preserve">. En conséquence, le corollaire de cette double intervention étatique consiste en un renforcement du protectionnisme. </w:t>
      </w:r>
    </w:p>
    <w:p w14:paraId="77262756" w14:textId="77777777" w:rsidR="00127E1B" w:rsidRPr="00947BD1" w:rsidRDefault="00127E1B" w:rsidP="00127E1B">
      <w:pPr>
        <w:spacing w:line="360" w:lineRule="auto"/>
        <w:jc w:val="both"/>
        <w:rPr>
          <w:rFonts w:ascii="Times New Roman" w:hAnsi="Times New Roman" w:cs="Times New Roman"/>
        </w:rPr>
      </w:pPr>
    </w:p>
    <w:p w14:paraId="0DC012DE" w14:textId="5A66D3FB" w:rsidR="00127E1B" w:rsidRPr="00947BD1" w:rsidRDefault="00127E1B" w:rsidP="00127E1B">
      <w:pPr>
        <w:spacing w:line="360" w:lineRule="auto"/>
        <w:jc w:val="both"/>
        <w:rPr>
          <w:rFonts w:ascii="Times New Roman" w:hAnsi="Times New Roman" w:cs="Times New Roman"/>
        </w:rPr>
      </w:pPr>
      <w:r w:rsidRPr="003E4F47">
        <w:rPr>
          <w:rFonts w:ascii="Times New Roman" w:hAnsi="Times New Roman" w:cs="Times New Roman"/>
        </w:rPr>
        <w:t>De plus, il</w:t>
      </w:r>
      <w:r w:rsidRPr="00947BD1">
        <w:rPr>
          <w:rFonts w:ascii="Times New Roman" w:hAnsi="Times New Roman" w:cs="Times New Roman"/>
        </w:rPr>
        <w:t xml:space="preserve"> convient de souligner que la balance commerciale, qui peut se définir comme le résultat d’une mise en balance des exportations par rapport aux importations</w:t>
      </w:r>
      <w:r w:rsidRPr="00947BD1">
        <w:rPr>
          <w:rStyle w:val="Marquenotebasdepage"/>
          <w:rFonts w:ascii="Times New Roman" w:hAnsi="Times New Roman" w:cs="Times New Roman"/>
        </w:rPr>
        <w:footnoteReference w:id="8"/>
      </w:r>
      <w:r w:rsidRPr="00947BD1">
        <w:rPr>
          <w:rFonts w:ascii="Times New Roman" w:hAnsi="Times New Roman" w:cs="Times New Roman"/>
        </w:rPr>
        <w:t>,  doit être excédentaire</w:t>
      </w:r>
      <w:r w:rsidRPr="00947BD1">
        <w:rPr>
          <w:rStyle w:val="Marquenotebasdepage"/>
          <w:rFonts w:ascii="Times New Roman" w:hAnsi="Times New Roman" w:cs="Times New Roman"/>
        </w:rPr>
        <w:footnoteReference w:id="9"/>
      </w:r>
      <w:r w:rsidRPr="00947BD1">
        <w:rPr>
          <w:rFonts w:ascii="Times New Roman" w:hAnsi="Times New Roman" w:cs="Times New Roman"/>
        </w:rPr>
        <w:t>, étant donné qu’elle tend à indiquer le niveau de richesse de l’Etat</w:t>
      </w:r>
      <w:r w:rsidRPr="00947BD1">
        <w:rPr>
          <w:rStyle w:val="Marquenotebasdepage"/>
          <w:rFonts w:ascii="Times New Roman" w:hAnsi="Times New Roman" w:cs="Times New Roman"/>
        </w:rPr>
        <w:footnoteReference w:id="10"/>
      </w:r>
      <w:r w:rsidRPr="00947BD1">
        <w:rPr>
          <w:rFonts w:ascii="Times New Roman" w:hAnsi="Times New Roman" w:cs="Times New Roman"/>
        </w:rPr>
        <w:t>. La notion de mercantilisme a été mise en œuvre dans plusieurs pays et a reçu, à cette occasion, diverses acceptions. Ainsi, « le mercantilisme espagnol »</w:t>
      </w:r>
      <w:r w:rsidRPr="00947BD1">
        <w:rPr>
          <w:rStyle w:val="Marquenotebasdepage"/>
          <w:rFonts w:ascii="Times New Roman" w:hAnsi="Times New Roman" w:cs="Times New Roman"/>
        </w:rPr>
        <w:footnoteReference w:id="11"/>
      </w:r>
      <w:r w:rsidRPr="00947BD1">
        <w:rPr>
          <w:rFonts w:ascii="Times New Roman" w:hAnsi="Times New Roman" w:cs="Times New Roman"/>
        </w:rPr>
        <w:t xml:space="preserve">, pratiqué par le Portugal et l’Espagne, est un mercantilisme </w:t>
      </w:r>
      <w:r w:rsidRPr="00947BD1">
        <w:rPr>
          <w:rFonts w:ascii="Times New Roman" w:hAnsi="Times New Roman" w:cs="Times New Roman"/>
          <w:i/>
        </w:rPr>
        <w:t>bullioniste</w:t>
      </w:r>
      <w:r w:rsidRPr="00947BD1">
        <w:rPr>
          <w:rFonts w:ascii="Times New Roman" w:hAnsi="Times New Roman" w:cs="Times New Roman"/>
        </w:rPr>
        <w:t xml:space="preserve"> (du mot anglais </w:t>
      </w:r>
      <w:r w:rsidRPr="00947BD1">
        <w:rPr>
          <w:rFonts w:ascii="Times New Roman" w:hAnsi="Times New Roman" w:cs="Times New Roman"/>
          <w:i/>
        </w:rPr>
        <w:t>bullion</w:t>
      </w:r>
      <w:r w:rsidR="00A919C3">
        <w:rPr>
          <w:rFonts w:ascii="Times New Roman" w:hAnsi="Times New Roman" w:cs="Times New Roman"/>
        </w:rPr>
        <w:t>,</w:t>
      </w:r>
      <w:r w:rsidRPr="00947BD1">
        <w:rPr>
          <w:rFonts w:ascii="Times New Roman" w:hAnsi="Times New Roman" w:cs="Times New Roman"/>
        </w:rPr>
        <w:t xml:space="preserve"> signifiant lingot) ou </w:t>
      </w:r>
      <w:r w:rsidRPr="00947BD1">
        <w:rPr>
          <w:rFonts w:ascii="Times New Roman" w:hAnsi="Times New Roman" w:cs="Times New Roman"/>
          <w:i/>
        </w:rPr>
        <w:t>chryshédoniste</w:t>
      </w:r>
      <w:r w:rsidRPr="00947BD1">
        <w:rPr>
          <w:rFonts w:ascii="Times New Roman" w:hAnsi="Times New Roman" w:cs="Times New Roman"/>
        </w:rPr>
        <w:t xml:space="preserve"> (le plaisir provient de l’or)</w:t>
      </w:r>
      <w:r w:rsidRPr="00947BD1">
        <w:rPr>
          <w:rStyle w:val="Marquenotebasdepage"/>
          <w:rFonts w:ascii="Times New Roman" w:hAnsi="Times New Roman" w:cs="Times New Roman"/>
        </w:rPr>
        <w:footnoteReference w:id="12"/>
      </w:r>
      <w:r w:rsidRPr="00947BD1">
        <w:rPr>
          <w:rFonts w:ascii="Times New Roman" w:hAnsi="Times New Roman" w:cs="Times New Roman"/>
        </w:rPr>
        <w:t>, qui tend à considérer que les métaux précieux sont la véritable source de la richesse. Il faut ainsi accroître les réserves d’or et d’argent. Par la suite, cette pratique ne s’est pas avérée très concluante étant donné que le Portugal et l’Espagne ont décliné rapidement</w:t>
      </w:r>
      <w:r w:rsidRPr="00947BD1">
        <w:rPr>
          <w:rStyle w:val="Marquenotebasdepage"/>
          <w:rFonts w:ascii="Times New Roman" w:hAnsi="Times New Roman" w:cs="Times New Roman"/>
        </w:rPr>
        <w:footnoteReference w:id="13"/>
      </w:r>
      <w:r w:rsidRPr="00947BD1">
        <w:rPr>
          <w:rFonts w:ascii="Times New Roman" w:hAnsi="Times New Roman" w:cs="Times New Roman"/>
        </w:rPr>
        <w:t xml:space="preserve">. </w:t>
      </w:r>
    </w:p>
    <w:p w14:paraId="1CA0959C" w14:textId="77777777" w:rsidR="00127E1B" w:rsidRPr="00947BD1" w:rsidRDefault="00127E1B" w:rsidP="00127E1B">
      <w:pPr>
        <w:spacing w:line="360" w:lineRule="auto"/>
        <w:jc w:val="both"/>
        <w:rPr>
          <w:rFonts w:ascii="Times New Roman" w:hAnsi="Times New Roman" w:cs="Times New Roman"/>
        </w:rPr>
      </w:pPr>
    </w:p>
    <w:p w14:paraId="579835AC" w14:textId="77777777" w:rsidR="00127E1B" w:rsidRPr="00947BD1" w:rsidRDefault="00127E1B" w:rsidP="00127E1B">
      <w:pPr>
        <w:spacing w:line="360" w:lineRule="auto"/>
        <w:jc w:val="both"/>
        <w:rPr>
          <w:rFonts w:ascii="Times New Roman" w:hAnsi="Times New Roman" w:cs="Times New Roman"/>
        </w:rPr>
      </w:pPr>
      <w:r w:rsidRPr="00947BD1">
        <w:rPr>
          <w:rFonts w:ascii="Times New Roman" w:hAnsi="Times New Roman" w:cs="Times New Roman"/>
        </w:rPr>
        <w:t>Le mercantilisme britannique</w:t>
      </w:r>
      <w:r w:rsidRPr="00947BD1">
        <w:rPr>
          <w:rStyle w:val="Marquenotebasdepage"/>
          <w:rFonts w:ascii="Times New Roman" w:hAnsi="Times New Roman" w:cs="Times New Roman"/>
        </w:rPr>
        <w:footnoteReference w:id="14"/>
      </w:r>
      <w:r w:rsidRPr="00947BD1">
        <w:rPr>
          <w:rFonts w:ascii="Times New Roman" w:hAnsi="Times New Roman" w:cs="Times New Roman"/>
        </w:rPr>
        <w:t>, pratiqué par l’Angleterre, est également une forme de mercantilisme qui met en exergue d’une part, le fait d’exporter les plus grandes quantités au prix les plus élevés et d’autre part, le fait de limiter les importations</w:t>
      </w:r>
      <w:r w:rsidRPr="00947BD1">
        <w:rPr>
          <w:rStyle w:val="Marquenotebasdepage"/>
          <w:rFonts w:ascii="Times New Roman" w:hAnsi="Times New Roman" w:cs="Times New Roman"/>
        </w:rPr>
        <w:footnoteReference w:id="15"/>
      </w:r>
      <w:r w:rsidRPr="00947BD1">
        <w:rPr>
          <w:rFonts w:ascii="Times New Roman" w:hAnsi="Times New Roman" w:cs="Times New Roman"/>
        </w:rPr>
        <w:t>. En ce qui concerne le commerce maritime, le pays contrôle le commerce extérieur</w:t>
      </w:r>
      <w:r w:rsidRPr="00947BD1">
        <w:rPr>
          <w:rStyle w:val="Marquenotebasdepage"/>
          <w:rFonts w:ascii="Times New Roman" w:hAnsi="Times New Roman" w:cs="Times New Roman"/>
        </w:rPr>
        <w:footnoteReference w:id="16"/>
      </w:r>
      <w:r w:rsidRPr="00947BD1">
        <w:rPr>
          <w:rFonts w:ascii="Times New Roman" w:hAnsi="Times New Roman" w:cs="Times New Roman"/>
        </w:rPr>
        <w:t>. Cette pratique laisse une grande liberté au commerce</w:t>
      </w:r>
      <w:r w:rsidRPr="00947BD1">
        <w:rPr>
          <w:rStyle w:val="Marquenotebasdepage"/>
          <w:rFonts w:ascii="Times New Roman" w:hAnsi="Times New Roman" w:cs="Times New Roman"/>
        </w:rPr>
        <w:footnoteReference w:id="17"/>
      </w:r>
      <w:r w:rsidRPr="00947BD1">
        <w:rPr>
          <w:rFonts w:ascii="Times New Roman" w:hAnsi="Times New Roman" w:cs="Times New Roman"/>
        </w:rPr>
        <w:t>. Il s’agit d’un mercantilisme très protectionniste qui tend à dégager un excédent commercial afin de faire entrer l’or dans le pays</w:t>
      </w:r>
      <w:r w:rsidRPr="00947BD1">
        <w:rPr>
          <w:rStyle w:val="Marquenotebasdepage"/>
          <w:rFonts w:ascii="Times New Roman" w:hAnsi="Times New Roman" w:cs="Times New Roman"/>
        </w:rPr>
        <w:footnoteReference w:id="18"/>
      </w:r>
      <w:r w:rsidRPr="00947BD1">
        <w:rPr>
          <w:rFonts w:ascii="Times New Roman" w:hAnsi="Times New Roman" w:cs="Times New Roman"/>
        </w:rPr>
        <w:t>.</w:t>
      </w:r>
    </w:p>
    <w:p w14:paraId="054FE393" w14:textId="77777777" w:rsidR="00127E1B" w:rsidRPr="00947BD1" w:rsidRDefault="00127E1B" w:rsidP="00127E1B">
      <w:pPr>
        <w:spacing w:line="360" w:lineRule="auto"/>
        <w:jc w:val="both"/>
        <w:rPr>
          <w:rFonts w:ascii="Times New Roman" w:hAnsi="Times New Roman" w:cs="Times New Roman"/>
          <w:color w:val="FF0000"/>
        </w:rPr>
      </w:pPr>
    </w:p>
    <w:p w14:paraId="64DA3AF1" w14:textId="61478353" w:rsidR="00127E1B" w:rsidRPr="00947BD1" w:rsidRDefault="00127E1B" w:rsidP="00127E1B">
      <w:pPr>
        <w:spacing w:line="360" w:lineRule="auto"/>
        <w:jc w:val="both"/>
        <w:rPr>
          <w:rFonts w:ascii="Times New Roman" w:hAnsi="Times New Roman" w:cs="Times New Roman"/>
        </w:rPr>
      </w:pPr>
      <w:r w:rsidRPr="00947BD1">
        <w:rPr>
          <w:rFonts w:ascii="Times New Roman" w:hAnsi="Times New Roman" w:cs="Times New Roman"/>
        </w:rPr>
        <w:t>Le mercantilisme français</w:t>
      </w:r>
      <w:r w:rsidRPr="00947BD1">
        <w:rPr>
          <w:rStyle w:val="Marquenotebasdepage"/>
          <w:rFonts w:ascii="Times New Roman" w:hAnsi="Times New Roman" w:cs="Times New Roman"/>
        </w:rPr>
        <w:footnoteReference w:id="19"/>
      </w:r>
      <w:r w:rsidRPr="00947BD1">
        <w:rPr>
          <w:rFonts w:ascii="Times New Roman" w:hAnsi="Times New Roman" w:cs="Times New Roman"/>
        </w:rPr>
        <w:t xml:space="preserve"> est, quant à lui, une forme de mercantilisme qui tend à développer l’activité manufacturière. Au XVI</w:t>
      </w:r>
      <w:r w:rsidRPr="00947BD1">
        <w:rPr>
          <w:rFonts w:ascii="Times New Roman" w:hAnsi="Times New Roman" w:cs="Times New Roman"/>
          <w:vertAlign w:val="superscript"/>
        </w:rPr>
        <w:t>e</w:t>
      </w:r>
      <w:r w:rsidRPr="00947BD1">
        <w:rPr>
          <w:rFonts w:ascii="Times New Roman" w:hAnsi="Times New Roman" w:cs="Times New Roman"/>
        </w:rPr>
        <w:t xml:space="preserve"> siècle, la richesse de la France était basée non seulement sur l’agriculture mais également sur le développement industriel et artisanal</w:t>
      </w:r>
      <w:r w:rsidRPr="00947BD1">
        <w:rPr>
          <w:rStyle w:val="Marquenotebasdepage"/>
          <w:rFonts w:ascii="Times New Roman" w:hAnsi="Times New Roman" w:cs="Times New Roman"/>
        </w:rPr>
        <w:footnoteReference w:id="20"/>
      </w:r>
      <w:r w:rsidRPr="00947BD1">
        <w:rPr>
          <w:rFonts w:ascii="Times New Roman" w:hAnsi="Times New Roman" w:cs="Times New Roman"/>
        </w:rPr>
        <w:t>. Cette doctrine considère qu’il faut réduire les importations aux seules matières premières</w:t>
      </w:r>
      <w:r w:rsidRPr="00947BD1">
        <w:rPr>
          <w:rStyle w:val="Marquenotebasdepage"/>
          <w:rFonts w:ascii="Times New Roman" w:hAnsi="Times New Roman" w:cs="Times New Roman"/>
        </w:rPr>
        <w:footnoteReference w:id="21"/>
      </w:r>
      <w:r w:rsidRPr="00947BD1">
        <w:rPr>
          <w:rFonts w:ascii="Times New Roman" w:hAnsi="Times New Roman" w:cs="Times New Roman"/>
        </w:rPr>
        <w:t xml:space="preserve"> tandis qu’il convient d’exporter des produits manufacturés à prix élevé</w:t>
      </w:r>
      <w:r w:rsidRPr="00947BD1">
        <w:rPr>
          <w:rStyle w:val="Marquenotebasdepage"/>
          <w:rFonts w:ascii="Times New Roman" w:hAnsi="Times New Roman" w:cs="Times New Roman"/>
        </w:rPr>
        <w:footnoteReference w:id="22"/>
      </w:r>
      <w:r w:rsidRPr="00947BD1">
        <w:rPr>
          <w:rFonts w:ascii="Times New Roman" w:hAnsi="Times New Roman" w:cs="Times New Roman"/>
        </w:rPr>
        <w:t>. Il apparaît que le mercantilisme français, qui a connu son apogée avec le colbertisme, préconise un protectionnisme sélectif</w:t>
      </w:r>
      <w:r w:rsidRPr="00947BD1">
        <w:rPr>
          <w:rStyle w:val="Marquenotebasdepage"/>
          <w:rFonts w:ascii="Times New Roman" w:hAnsi="Times New Roman" w:cs="Times New Roman"/>
        </w:rPr>
        <w:footnoteReference w:id="23"/>
      </w:r>
      <w:r w:rsidRPr="00947BD1">
        <w:rPr>
          <w:rFonts w:ascii="Times New Roman" w:hAnsi="Times New Roman" w:cs="Times New Roman"/>
        </w:rPr>
        <w:t xml:space="preserve">. En effet, Colbert (1619-1683), un des principaux ministres du roi Louis XIV, avait mis en </w:t>
      </w:r>
      <w:r w:rsidR="00886662">
        <w:rPr>
          <w:rFonts w:ascii="Times New Roman" w:hAnsi="Times New Roman" w:cs="Times New Roman"/>
        </w:rPr>
        <w:t>place un système économique</w:t>
      </w:r>
      <w:r w:rsidRPr="00947BD1">
        <w:rPr>
          <w:rFonts w:ascii="Times New Roman" w:hAnsi="Times New Roman" w:cs="Times New Roman"/>
        </w:rPr>
        <w:t xml:space="preserve"> fondé sur l’intervention de l’Etat dans le commerce extérieur</w:t>
      </w:r>
      <w:r w:rsidRPr="00947BD1">
        <w:rPr>
          <w:rStyle w:val="Marquenotebasdepage"/>
          <w:rFonts w:ascii="Times New Roman" w:hAnsi="Times New Roman" w:cs="Times New Roman"/>
        </w:rPr>
        <w:footnoteReference w:id="24"/>
      </w:r>
      <w:r w:rsidRPr="00947BD1">
        <w:rPr>
          <w:rFonts w:ascii="Times New Roman" w:hAnsi="Times New Roman" w:cs="Times New Roman"/>
        </w:rPr>
        <w:t>. Son objectif était d’augmenter la richesse par l’accroissement des exportations de marchandise</w:t>
      </w:r>
      <w:r w:rsidR="009833E4">
        <w:rPr>
          <w:rFonts w:ascii="Times New Roman" w:hAnsi="Times New Roman" w:cs="Times New Roman"/>
        </w:rPr>
        <w:t>,</w:t>
      </w:r>
      <w:r w:rsidRPr="00947BD1">
        <w:rPr>
          <w:rFonts w:ascii="Times New Roman" w:hAnsi="Times New Roman" w:cs="Times New Roman"/>
        </w:rPr>
        <w:t xml:space="preserve"> ce qui permettait aux manufactures de se développer</w:t>
      </w:r>
      <w:r w:rsidRPr="00947BD1">
        <w:rPr>
          <w:rStyle w:val="Marquenotebasdepage"/>
          <w:rFonts w:ascii="Times New Roman" w:hAnsi="Times New Roman" w:cs="Times New Roman"/>
        </w:rPr>
        <w:footnoteReference w:id="25"/>
      </w:r>
      <w:r w:rsidRPr="00947BD1">
        <w:rPr>
          <w:rFonts w:ascii="Times New Roman" w:hAnsi="Times New Roman" w:cs="Times New Roman"/>
        </w:rPr>
        <w:t>. Bodin et Montchrestien</w:t>
      </w:r>
      <w:r w:rsidRPr="00947BD1">
        <w:rPr>
          <w:rStyle w:val="Marquenotebasdepage"/>
          <w:rFonts w:ascii="Times New Roman" w:hAnsi="Times New Roman" w:cs="Times New Roman"/>
        </w:rPr>
        <w:footnoteReference w:id="26"/>
      </w:r>
      <w:r w:rsidRPr="00947BD1">
        <w:rPr>
          <w:rFonts w:ascii="Times New Roman" w:hAnsi="Times New Roman" w:cs="Times New Roman"/>
        </w:rPr>
        <w:t xml:space="preserve"> ont également porté le mercantilisme français en une pratique qui tend à soutenir </w:t>
      </w:r>
      <w:r w:rsidRPr="00912210">
        <w:rPr>
          <w:rFonts w:ascii="Times New Roman" w:hAnsi="Times New Roman" w:cs="Times New Roman"/>
        </w:rPr>
        <w:t xml:space="preserve">une </w:t>
      </w:r>
      <w:r w:rsidR="00912210">
        <w:rPr>
          <w:rFonts w:ascii="Times New Roman" w:hAnsi="Times New Roman" w:cs="Times New Roman"/>
        </w:rPr>
        <w:t>« </w:t>
      </w:r>
      <w:r w:rsidRPr="00912210">
        <w:rPr>
          <w:rFonts w:ascii="Times New Roman" w:hAnsi="Times New Roman" w:cs="Times New Roman"/>
        </w:rPr>
        <w:t>vision dynamique de la politique de l’économie nationale</w:t>
      </w:r>
      <w:r w:rsidR="00912210">
        <w:rPr>
          <w:rFonts w:ascii="Times New Roman" w:hAnsi="Times New Roman" w:cs="Times New Roman"/>
        </w:rPr>
        <w:t> »</w:t>
      </w:r>
      <w:r w:rsidRPr="00912210">
        <w:rPr>
          <w:rStyle w:val="Marquenotebasdepage"/>
          <w:rFonts w:ascii="Times New Roman" w:hAnsi="Times New Roman" w:cs="Times New Roman"/>
        </w:rPr>
        <w:footnoteReference w:id="27"/>
      </w:r>
      <w:r w:rsidRPr="00912210">
        <w:rPr>
          <w:rFonts w:ascii="Times New Roman" w:hAnsi="Times New Roman" w:cs="Times New Roman"/>
        </w:rPr>
        <w:t>.</w:t>
      </w:r>
    </w:p>
    <w:p w14:paraId="231426C4" w14:textId="77777777" w:rsidR="00127E1B" w:rsidRPr="00947BD1" w:rsidRDefault="00127E1B" w:rsidP="00127E1B">
      <w:pPr>
        <w:spacing w:line="360" w:lineRule="auto"/>
        <w:jc w:val="both"/>
        <w:rPr>
          <w:rFonts w:ascii="Times New Roman" w:hAnsi="Times New Roman" w:cs="Times New Roman"/>
        </w:rPr>
      </w:pPr>
    </w:p>
    <w:p w14:paraId="7CECE587" w14:textId="62CE7405" w:rsidR="00127E1B" w:rsidRDefault="00127E1B" w:rsidP="00127E1B">
      <w:pPr>
        <w:spacing w:line="360" w:lineRule="auto"/>
        <w:jc w:val="both"/>
        <w:rPr>
          <w:rFonts w:ascii="Times New Roman" w:hAnsi="Times New Roman" w:cs="Times New Roman"/>
        </w:rPr>
      </w:pPr>
      <w:r w:rsidRPr="00947BD1">
        <w:rPr>
          <w:rFonts w:ascii="Times New Roman" w:hAnsi="Times New Roman" w:cs="Times New Roman"/>
        </w:rPr>
        <w:t>Somme toute, le mercantilisme prône un développement économique par l’enrichissement de l’Etat grâce à un commerce extérieur qui est organisé dans l’objectif de dégager un excédent de la balance commerciale</w:t>
      </w:r>
      <w:r w:rsidRPr="00947BD1">
        <w:rPr>
          <w:rStyle w:val="Marquenotebasdepage"/>
          <w:rFonts w:ascii="Times New Roman" w:hAnsi="Times New Roman" w:cs="Times New Roman"/>
        </w:rPr>
        <w:footnoteReference w:id="28"/>
      </w:r>
      <w:r w:rsidRPr="00947BD1">
        <w:rPr>
          <w:rFonts w:ascii="Times New Roman" w:hAnsi="Times New Roman" w:cs="Times New Roman"/>
        </w:rPr>
        <w:t>. En conséquence, l’Etat développe une richesse nationale</w:t>
      </w:r>
      <w:r w:rsidRPr="00947BD1">
        <w:rPr>
          <w:rStyle w:val="Marquenotebasdepage"/>
          <w:rFonts w:ascii="Times New Roman" w:hAnsi="Times New Roman" w:cs="Times New Roman"/>
        </w:rPr>
        <w:footnoteReference w:id="29"/>
      </w:r>
      <w:r w:rsidRPr="00947BD1">
        <w:rPr>
          <w:rFonts w:ascii="Times New Roman" w:hAnsi="Times New Roman" w:cs="Times New Roman"/>
        </w:rPr>
        <w:t xml:space="preserve"> d’une part, en favorisant les exportations et d’autre part, en pratiquant le protectionnisme. Il se doit dès lors d’adopter des politiques protectionnistes d’une part, en limitant les importations, et ce en augmentant les droits de douane</w:t>
      </w:r>
      <w:r w:rsidRPr="00947BD1">
        <w:rPr>
          <w:rStyle w:val="Marquenotebasdepage"/>
          <w:rFonts w:ascii="Times New Roman" w:hAnsi="Times New Roman" w:cs="Times New Roman"/>
        </w:rPr>
        <w:footnoteReference w:id="30"/>
      </w:r>
      <w:r w:rsidRPr="00947BD1">
        <w:rPr>
          <w:rFonts w:ascii="Times New Roman" w:hAnsi="Times New Roman" w:cs="Times New Roman"/>
        </w:rPr>
        <w:t xml:space="preserve"> et, d’autre part, en favorisant les exportations au moyen de subventions</w:t>
      </w:r>
      <w:r w:rsidRPr="00947BD1">
        <w:rPr>
          <w:rStyle w:val="Marquenotebasdepage"/>
          <w:rFonts w:ascii="Times New Roman" w:hAnsi="Times New Roman" w:cs="Times New Roman"/>
        </w:rPr>
        <w:footnoteReference w:id="31"/>
      </w:r>
      <w:r w:rsidRPr="00947BD1">
        <w:rPr>
          <w:rFonts w:ascii="Times New Roman" w:hAnsi="Times New Roman" w:cs="Times New Roman"/>
        </w:rPr>
        <w:t>.</w:t>
      </w:r>
    </w:p>
    <w:p w14:paraId="2545C1C7" w14:textId="77777777" w:rsidR="009F41AE" w:rsidRPr="009F41AE" w:rsidRDefault="009F41AE" w:rsidP="00127E1B">
      <w:pPr>
        <w:spacing w:line="360" w:lineRule="auto"/>
        <w:jc w:val="both"/>
        <w:rPr>
          <w:rFonts w:ascii="Times New Roman" w:hAnsi="Times New Roman" w:cs="Times New Roman"/>
        </w:rPr>
      </w:pPr>
    </w:p>
    <w:p w14:paraId="272E5A0A" w14:textId="24F84B9E" w:rsidR="00127E1B" w:rsidRPr="00EE34CB" w:rsidRDefault="00B06B01" w:rsidP="00127E1B">
      <w:pPr>
        <w:spacing w:line="360" w:lineRule="auto"/>
        <w:jc w:val="both"/>
        <w:rPr>
          <w:rFonts w:ascii="Times New Roman" w:hAnsi="Times New Roman" w:cs="Times New Roman"/>
          <w:b/>
          <w:bCs/>
          <w:smallCaps/>
        </w:rPr>
      </w:pPr>
      <w:r>
        <w:rPr>
          <w:rFonts w:ascii="Times New Roman" w:hAnsi="Times New Roman" w:cs="Times New Roman"/>
          <w:b/>
          <w:bCs/>
          <w:smallCaps/>
        </w:rPr>
        <w:t>Chapitre II</w:t>
      </w:r>
      <w:r w:rsidR="00127E1B" w:rsidRPr="00EE34CB">
        <w:rPr>
          <w:rFonts w:ascii="Times New Roman" w:hAnsi="Times New Roman" w:cs="Times New Roman"/>
          <w:b/>
          <w:bCs/>
          <w:smallCaps/>
        </w:rPr>
        <w:t>. L’interaction entre le protectionnisme et le libre-échange</w:t>
      </w:r>
    </w:p>
    <w:p w14:paraId="3840FDFC" w14:textId="2B65AC24" w:rsidR="00127E1B" w:rsidRPr="00947BD1" w:rsidRDefault="00127E1B" w:rsidP="00127E1B">
      <w:pPr>
        <w:spacing w:line="360" w:lineRule="auto"/>
        <w:jc w:val="both"/>
        <w:rPr>
          <w:rFonts w:ascii="Times New Roman" w:hAnsi="Times New Roman" w:cs="Times New Roman"/>
        </w:rPr>
      </w:pPr>
      <w:r w:rsidRPr="00947BD1">
        <w:rPr>
          <w:rFonts w:ascii="Times New Roman" w:hAnsi="Times New Roman" w:cs="Times New Roman"/>
        </w:rPr>
        <w:t>L</w:t>
      </w:r>
      <w:r w:rsidR="00126E6B">
        <w:rPr>
          <w:rFonts w:ascii="Times New Roman" w:hAnsi="Times New Roman" w:cs="Times New Roman"/>
        </w:rPr>
        <w:t>e protectionnisme au sein de l’Organisation Mondiale du C</w:t>
      </w:r>
      <w:r w:rsidRPr="00947BD1">
        <w:rPr>
          <w:rFonts w:ascii="Times New Roman" w:hAnsi="Times New Roman" w:cs="Times New Roman"/>
        </w:rPr>
        <w:t>ommerce a déjà fait couler beaucoup d’encre. Afin d’appréhender ce sujet de manière plus précise, il convient tout d’abord d’analyser les notions de libre échange et de protectionnisme ainsi que l’interaction entre ces deux notions. Il faut également souligner que le commerce international occupe une place importante dans la politique économique.</w:t>
      </w:r>
    </w:p>
    <w:p w14:paraId="305C89E9" w14:textId="77777777" w:rsidR="00127E1B" w:rsidRPr="00947BD1" w:rsidRDefault="00127E1B" w:rsidP="00127E1B">
      <w:pPr>
        <w:spacing w:line="360" w:lineRule="auto"/>
        <w:jc w:val="both"/>
        <w:rPr>
          <w:rFonts w:ascii="Times New Roman" w:hAnsi="Times New Roman" w:cs="Times New Roman"/>
        </w:rPr>
      </w:pPr>
    </w:p>
    <w:p w14:paraId="69236F8E" w14:textId="77777777" w:rsidR="00127E1B" w:rsidRPr="00947BD1" w:rsidRDefault="00127E1B" w:rsidP="00127E1B">
      <w:pPr>
        <w:spacing w:line="360" w:lineRule="auto"/>
        <w:jc w:val="both"/>
        <w:rPr>
          <w:rFonts w:ascii="Times New Roman" w:hAnsi="Times New Roman" w:cs="Times New Roman"/>
        </w:rPr>
      </w:pPr>
      <w:r w:rsidRPr="00947BD1">
        <w:rPr>
          <w:rFonts w:ascii="Times New Roman" w:hAnsi="Times New Roman" w:cs="Times New Roman"/>
        </w:rPr>
        <w:t>La question du protectionnisme n’est pas récente. En effet, elle est débattue depuis le XIXe siècle. D’après l’historien économiste Paul Bairoch</w:t>
      </w:r>
      <w:r w:rsidRPr="00947BD1">
        <w:rPr>
          <w:rStyle w:val="Marquenotebasdepage"/>
          <w:rFonts w:ascii="Times New Roman" w:hAnsi="Times New Roman" w:cs="Times New Roman"/>
        </w:rPr>
        <w:footnoteReference w:id="32"/>
      </w:r>
      <w:r w:rsidRPr="00947BD1">
        <w:rPr>
          <w:rFonts w:ascii="Times New Roman" w:hAnsi="Times New Roman" w:cs="Times New Roman"/>
        </w:rPr>
        <w:t>, au XIX</w:t>
      </w:r>
      <w:r w:rsidRPr="00947BD1">
        <w:rPr>
          <w:rFonts w:ascii="Times New Roman" w:hAnsi="Times New Roman" w:cs="Times New Roman"/>
          <w:vertAlign w:val="superscript"/>
        </w:rPr>
        <w:t>e</w:t>
      </w:r>
      <w:r w:rsidRPr="00947BD1">
        <w:rPr>
          <w:rFonts w:ascii="Times New Roman" w:hAnsi="Times New Roman" w:cs="Times New Roman"/>
        </w:rPr>
        <w:t xml:space="preserve"> siècle, le protectionnisme était érigé au rang de règle tandis que le libre-échange en constituait l’exception</w:t>
      </w:r>
      <w:r w:rsidRPr="00947BD1">
        <w:rPr>
          <w:rStyle w:val="Marquenotebasdepage"/>
          <w:rFonts w:ascii="Times New Roman" w:hAnsi="Times New Roman" w:cs="Times New Roman"/>
        </w:rPr>
        <w:footnoteReference w:id="33"/>
      </w:r>
      <w:r w:rsidRPr="00947BD1">
        <w:rPr>
          <w:rFonts w:ascii="Times New Roman" w:hAnsi="Times New Roman" w:cs="Times New Roman"/>
        </w:rPr>
        <w:t>.</w:t>
      </w:r>
      <w:r>
        <w:rPr>
          <w:rFonts w:ascii="Times New Roman" w:hAnsi="Times New Roman" w:cs="Times New Roman"/>
        </w:rPr>
        <w:t xml:space="preserve"> </w:t>
      </w:r>
      <w:r w:rsidRPr="00947BD1">
        <w:rPr>
          <w:rFonts w:ascii="Times New Roman" w:hAnsi="Times New Roman" w:cs="Times New Roman"/>
        </w:rPr>
        <w:t>Le commerce international est caractérisé d’une part, par des périodes de libre-échange et d’autre part, par des périodes de tension qui amènent à des réactions protectionnistes</w:t>
      </w:r>
      <w:r w:rsidRPr="00947BD1">
        <w:rPr>
          <w:rStyle w:val="Marquenotebasdepage"/>
          <w:rFonts w:ascii="Times New Roman" w:hAnsi="Times New Roman" w:cs="Times New Roman"/>
        </w:rPr>
        <w:footnoteReference w:id="34"/>
      </w:r>
      <w:r w:rsidRPr="00947BD1">
        <w:rPr>
          <w:rFonts w:ascii="Times New Roman" w:hAnsi="Times New Roman" w:cs="Times New Roman"/>
        </w:rPr>
        <w:t>. Ainsi, lorsque le commerce international connaît une croissance importante, la tendance est au libre-échange</w:t>
      </w:r>
      <w:r w:rsidRPr="00947BD1">
        <w:rPr>
          <w:rStyle w:val="Marquenotebasdepage"/>
          <w:rFonts w:ascii="Times New Roman" w:hAnsi="Times New Roman" w:cs="Times New Roman"/>
        </w:rPr>
        <w:footnoteReference w:id="35"/>
      </w:r>
      <w:r w:rsidRPr="00947BD1">
        <w:rPr>
          <w:rFonts w:ascii="Times New Roman" w:hAnsi="Times New Roman" w:cs="Times New Roman"/>
        </w:rPr>
        <w:t>. Il convient de souligner que de nombreux auteurs considèrent que les notions de libre-échange et de protectionnisme se doivent de cohabiter ensemble</w:t>
      </w:r>
      <w:r w:rsidRPr="00947BD1">
        <w:rPr>
          <w:rStyle w:val="Marquenotebasdepage"/>
          <w:rFonts w:ascii="Times New Roman" w:hAnsi="Times New Roman" w:cs="Times New Roman"/>
        </w:rPr>
        <w:footnoteReference w:id="36"/>
      </w:r>
      <w:r w:rsidRPr="00947BD1">
        <w:rPr>
          <w:rFonts w:ascii="Times New Roman" w:hAnsi="Times New Roman" w:cs="Times New Roman"/>
        </w:rPr>
        <w:t>. Le libre-échange est considéré comme une situation de moyen à long terme</w:t>
      </w:r>
      <w:r w:rsidRPr="00947BD1">
        <w:rPr>
          <w:rStyle w:val="Marquenotebasdepage"/>
          <w:rFonts w:ascii="Times New Roman" w:hAnsi="Times New Roman" w:cs="Times New Roman"/>
        </w:rPr>
        <w:footnoteReference w:id="37"/>
      </w:r>
      <w:r w:rsidRPr="00947BD1">
        <w:rPr>
          <w:rFonts w:ascii="Times New Roman" w:hAnsi="Times New Roman" w:cs="Times New Roman"/>
        </w:rPr>
        <w:t xml:space="preserve"> tandis que le protectionnisme constitue une forme temporaire</w:t>
      </w:r>
      <w:r w:rsidRPr="00947BD1">
        <w:rPr>
          <w:rStyle w:val="Marquenotebasdepage"/>
          <w:rFonts w:ascii="Times New Roman" w:hAnsi="Times New Roman" w:cs="Times New Roman"/>
        </w:rPr>
        <w:footnoteReference w:id="38"/>
      </w:r>
      <w:r w:rsidRPr="00947BD1">
        <w:rPr>
          <w:rFonts w:ascii="Times New Roman" w:hAnsi="Times New Roman" w:cs="Times New Roman"/>
        </w:rPr>
        <w:t xml:space="preserve">. Les réactions protectionnistes émergent lorsque des crises, notamment financières, apparaissent. </w:t>
      </w:r>
    </w:p>
    <w:p w14:paraId="0F7B9878" w14:textId="77777777" w:rsidR="00127E1B" w:rsidRPr="00947BD1" w:rsidRDefault="00127E1B" w:rsidP="00127E1B">
      <w:pPr>
        <w:spacing w:line="360" w:lineRule="auto"/>
        <w:jc w:val="both"/>
        <w:rPr>
          <w:rFonts w:ascii="Times New Roman" w:hAnsi="Times New Roman" w:cs="Times New Roman"/>
        </w:rPr>
      </w:pPr>
    </w:p>
    <w:p w14:paraId="1394ED11" w14:textId="2B2A8CB3" w:rsidR="00127E1B" w:rsidRPr="00EE34CB" w:rsidRDefault="00127E1B" w:rsidP="00127E1B">
      <w:pPr>
        <w:spacing w:line="360" w:lineRule="auto"/>
        <w:jc w:val="both"/>
        <w:rPr>
          <w:rFonts w:ascii="Times New Roman" w:hAnsi="Times New Roman" w:cs="Times New Roman"/>
          <w:b/>
          <w:bCs/>
          <w:smallCaps/>
        </w:rPr>
      </w:pPr>
      <w:r w:rsidRPr="00EE34CB">
        <w:rPr>
          <w:rFonts w:ascii="Times New Roman" w:hAnsi="Times New Roman" w:cs="Times New Roman"/>
          <w:b/>
          <w:bCs/>
          <w:smallCaps/>
        </w:rPr>
        <w:t>Chapit</w:t>
      </w:r>
      <w:r w:rsidR="00B06B01">
        <w:rPr>
          <w:rFonts w:ascii="Times New Roman" w:hAnsi="Times New Roman" w:cs="Times New Roman"/>
          <w:b/>
          <w:bCs/>
          <w:smallCaps/>
        </w:rPr>
        <w:t>re III</w:t>
      </w:r>
      <w:r w:rsidRPr="00EE34CB">
        <w:rPr>
          <w:rFonts w:ascii="Times New Roman" w:hAnsi="Times New Roman" w:cs="Times New Roman"/>
          <w:b/>
          <w:bCs/>
          <w:smallCaps/>
        </w:rPr>
        <w:t>. Le libre-échange</w:t>
      </w:r>
    </w:p>
    <w:p w14:paraId="535764DD" w14:textId="77777777" w:rsidR="00127E1B" w:rsidRPr="00EE34CB" w:rsidRDefault="00127E1B" w:rsidP="00127E1B">
      <w:pPr>
        <w:spacing w:line="360" w:lineRule="auto"/>
        <w:jc w:val="both"/>
        <w:rPr>
          <w:rFonts w:ascii="Times New Roman" w:hAnsi="Times New Roman" w:cs="Times New Roman"/>
          <w:smallCaps/>
          <w:u w:val="single"/>
        </w:rPr>
      </w:pPr>
      <w:r w:rsidRPr="00EE34CB">
        <w:rPr>
          <w:rFonts w:ascii="Times New Roman" w:hAnsi="Times New Roman" w:cs="Times New Roman"/>
          <w:smallCaps/>
          <w:u w:val="single"/>
        </w:rPr>
        <w:t>Section 1. La libéralisation des échanges : Historique</w:t>
      </w:r>
    </w:p>
    <w:p w14:paraId="5AC55B42" w14:textId="5D0C711E" w:rsidR="00127E1B" w:rsidRPr="00947BD1" w:rsidRDefault="00127E1B" w:rsidP="00127E1B">
      <w:pPr>
        <w:spacing w:line="360" w:lineRule="auto"/>
        <w:jc w:val="both"/>
        <w:rPr>
          <w:rFonts w:ascii="Times New Roman" w:hAnsi="Times New Roman" w:cs="Times New Roman"/>
        </w:rPr>
      </w:pPr>
      <w:r w:rsidRPr="00947BD1">
        <w:rPr>
          <w:rFonts w:ascii="Times New Roman" w:hAnsi="Times New Roman" w:cs="Times New Roman"/>
        </w:rPr>
        <w:t>Selon Jadgish Bhagwati, profondément en faveur du libre-échange, il convient de réformer et de renforcer les structures institutionnelles en vue de canaliser les intérêts du libre-échange afin de contrer le protectionnisme</w:t>
      </w:r>
      <w:r w:rsidRPr="00947BD1">
        <w:rPr>
          <w:rStyle w:val="Marquenotebasdepage"/>
          <w:rFonts w:ascii="Times New Roman" w:hAnsi="Times New Roman" w:cs="Times New Roman"/>
        </w:rPr>
        <w:footnoteReference w:id="39"/>
      </w:r>
      <w:r w:rsidRPr="00947BD1">
        <w:rPr>
          <w:rFonts w:ascii="Times New Roman" w:hAnsi="Times New Roman" w:cs="Times New Roman"/>
        </w:rPr>
        <w:t>. Les politiques commerciales, l’interaction des intérêts mais également les idéologies et les structures institutionnelles aident à mieux comprendre les réactions protectionnistes</w:t>
      </w:r>
      <w:r w:rsidRPr="00947BD1">
        <w:rPr>
          <w:rStyle w:val="Marquenotebasdepage"/>
          <w:rFonts w:ascii="Times New Roman" w:hAnsi="Times New Roman" w:cs="Times New Roman"/>
        </w:rPr>
        <w:footnoteReference w:id="40"/>
      </w:r>
      <w:r w:rsidRPr="00947BD1">
        <w:rPr>
          <w:rFonts w:ascii="Times New Roman" w:hAnsi="Times New Roman" w:cs="Times New Roman"/>
        </w:rPr>
        <w:t>. Durant les vingt-cinq années qui ont suivi la deuxième guerre mondiale, la libéralisation des échanges dans les pays industrialisés fut remarquable</w:t>
      </w:r>
      <w:r w:rsidRPr="00947BD1">
        <w:rPr>
          <w:rStyle w:val="Marquenotebasdepage"/>
          <w:rFonts w:ascii="Times New Roman" w:hAnsi="Times New Roman" w:cs="Times New Roman"/>
        </w:rPr>
        <w:footnoteReference w:id="41"/>
      </w:r>
      <w:r w:rsidRPr="00947BD1">
        <w:rPr>
          <w:rFonts w:ascii="Times New Roman" w:hAnsi="Times New Roman" w:cs="Times New Roman"/>
        </w:rPr>
        <w:t>. Plusieurs cycles de négociation</w:t>
      </w:r>
      <w:r w:rsidRPr="00947BD1">
        <w:rPr>
          <w:rStyle w:val="Marquenotebasdepage"/>
          <w:rFonts w:ascii="Times New Roman" w:hAnsi="Times New Roman" w:cs="Times New Roman"/>
        </w:rPr>
        <w:footnoteReference w:id="42"/>
      </w:r>
      <w:r w:rsidRPr="00947BD1">
        <w:rPr>
          <w:rFonts w:ascii="Times New Roman" w:hAnsi="Times New Roman" w:cs="Times New Roman"/>
        </w:rPr>
        <w:t xml:space="preserve"> se sont déroulés et ont permis un abaissement des droits de douane. Une résurgence de réactions protectionnistes est ensuite réapparue dans les années septante</w:t>
      </w:r>
      <w:r w:rsidRPr="00947BD1">
        <w:rPr>
          <w:rStyle w:val="Marquenotebasdepage"/>
          <w:rFonts w:ascii="Times New Roman" w:hAnsi="Times New Roman" w:cs="Times New Roman"/>
        </w:rPr>
        <w:footnoteReference w:id="43"/>
      </w:r>
      <w:r w:rsidRPr="00947BD1">
        <w:rPr>
          <w:rFonts w:ascii="Times New Roman" w:hAnsi="Times New Roman" w:cs="Times New Roman"/>
        </w:rPr>
        <w:t>. La prolifération des obstacles non tarifaires durant les années septante et quatre-vingt ont mis à néant les effets de la libéralisation des échanges qui étaient induits par l’abaissement des droits de douane</w:t>
      </w:r>
      <w:r w:rsidRPr="00947BD1">
        <w:rPr>
          <w:rStyle w:val="Marquenotebasdepage"/>
          <w:rFonts w:ascii="Times New Roman" w:hAnsi="Times New Roman" w:cs="Times New Roman"/>
        </w:rPr>
        <w:footnoteReference w:id="44"/>
      </w:r>
      <w:r w:rsidRPr="00947BD1">
        <w:rPr>
          <w:rFonts w:ascii="Times New Roman" w:hAnsi="Times New Roman" w:cs="Times New Roman"/>
        </w:rPr>
        <w:t>. Cela explique dès lors pourquoi la croissance des revenus et des échanges qui accompagnaient la libéralisation</w:t>
      </w:r>
      <w:r w:rsidRPr="00947BD1">
        <w:rPr>
          <w:rStyle w:val="Marquenotebasdepage"/>
          <w:rFonts w:ascii="Times New Roman" w:hAnsi="Times New Roman" w:cs="Times New Roman"/>
        </w:rPr>
        <w:footnoteReference w:id="45"/>
      </w:r>
      <w:r w:rsidRPr="00947BD1">
        <w:rPr>
          <w:rFonts w:ascii="Times New Roman" w:hAnsi="Times New Roman" w:cs="Times New Roman"/>
        </w:rPr>
        <w:t xml:space="preserve"> n’était véritablement présente que jusqu’au début des années septante.</w:t>
      </w:r>
      <w:r>
        <w:rPr>
          <w:rFonts w:ascii="Times New Roman" w:hAnsi="Times New Roman" w:cs="Times New Roman"/>
        </w:rPr>
        <w:t xml:space="preserve"> </w:t>
      </w:r>
      <w:r w:rsidRPr="00947BD1">
        <w:rPr>
          <w:rFonts w:ascii="Times New Roman" w:hAnsi="Times New Roman" w:cs="Times New Roman"/>
        </w:rPr>
        <w:t>L’expansion du commerce induite par la libéralisation a été l’une des causes de l’accr</w:t>
      </w:r>
      <w:r w:rsidR="00881870">
        <w:rPr>
          <w:rFonts w:ascii="Times New Roman" w:hAnsi="Times New Roman" w:cs="Times New Roman"/>
        </w:rPr>
        <w:t>oissement des revenus après la Seconde G</w:t>
      </w:r>
      <w:r w:rsidRPr="00947BD1">
        <w:rPr>
          <w:rFonts w:ascii="Times New Roman" w:hAnsi="Times New Roman" w:cs="Times New Roman"/>
        </w:rPr>
        <w:t>uerre mondiale. Il convient également de souligner que la réduction des barrières commerciales a contribué à l’accroissement des revenus durant cette période</w:t>
      </w:r>
      <w:r w:rsidR="003E4F47" w:rsidRPr="00947BD1">
        <w:rPr>
          <w:rStyle w:val="Marquenotebasdepage"/>
          <w:rFonts w:ascii="Times New Roman" w:hAnsi="Times New Roman" w:cs="Times New Roman"/>
        </w:rPr>
        <w:footnoteReference w:id="46"/>
      </w:r>
      <w:r w:rsidRPr="00947BD1">
        <w:rPr>
          <w:rFonts w:ascii="Times New Roman" w:hAnsi="Times New Roman" w:cs="Times New Roman"/>
        </w:rPr>
        <w:t>.</w:t>
      </w:r>
    </w:p>
    <w:p w14:paraId="604ADF2C" w14:textId="77777777" w:rsidR="00127E1B" w:rsidRPr="00947BD1" w:rsidRDefault="00127E1B" w:rsidP="00127E1B">
      <w:pPr>
        <w:spacing w:line="360" w:lineRule="auto"/>
        <w:jc w:val="both"/>
        <w:rPr>
          <w:rFonts w:ascii="Times New Roman" w:hAnsi="Times New Roman" w:cs="Times New Roman"/>
        </w:rPr>
      </w:pPr>
    </w:p>
    <w:p w14:paraId="33607FEA" w14:textId="77777777" w:rsidR="00127E1B" w:rsidRPr="00EE34CB" w:rsidRDefault="00127E1B" w:rsidP="00127E1B">
      <w:pPr>
        <w:spacing w:line="360" w:lineRule="auto"/>
        <w:jc w:val="both"/>
        <w:rPr>
          <w:rFonts w:ascii="Times New Roman" w:hAnsi="Times New Roman" w:cs="Times New Roman"/>
          <w:smallCaps/>
          <w:u w:val="single"/>
        </w:rPr>
      </w:pPr>
      <w:r w:rsidRPr="00EE34CB">
        <w:rPr>
          <w:rFonts w:ascii="Times New Roman" w:hAnsi="Times New Roman" w:cs="Times New Roman"/>
          <w:smallCaps/>
          <w:u w:val="single"/>
        </w:rPr>
        <w:t>Section 2. Les économistes en faveur du libre-échange</w:t>
      </w:r>
    </w:p>
    <w:p w14:paraId="18180130" w14:textId="77777777" w:rsidR="00127E1B" w:rsidRPr="00947BD1" w:rsidRDefault="00127E1B" w:rsidP="00127E1B">
      <w:pPr>
        <w:spacing w:line="360" w:lineRule="auto"/>
        <w:jc w:val="both"/>
        <w:rPr>
          <w:rFonts w:ascii="Times New Roman" w:hAnsi="Times New Roman" w:cs="Times New Roman"/>
        </w:rPr>
      </w:pPr>
      <w:r w:rsidRPr="00947BD1">
        <w:rPr>
          <w:rFonts w:ascii="Times New Roman" w:hAnsi="Times New Roman" w:cs="Times New Roman"/>
        </w:rPr>
        <w:t>Si les mercantilistes, qui prônaient un contrôle très strict de l’Etat sur les activités économiques, pensaient qu’un pays ne pouvait s’enrichir qu’au détriment des autres pays, il en est autrement d’Adam Smith, de David Ricardo et d’autres économistes classiques</w:t>
      </w:r>
      <w:r w:rsidRPr="00947BD1">
        <w:rPr>
          <w:rStyle w:val="Marquenotebasdepage"/>
          <w:rFonts w:ascii="Times New Roman" w:hAnsi="Times New Roman" w:cs="Times New Roman"/>
        </w:rPr>
        <w:footnoteReference w:id="47"/>
      </w:r>
      <w:r w:rsidRPr="00947BD1">
        <w:rPr>
          <w:rFonts w:ascii="Times New Roman" w:hAnsi="Times New Roman" w:cs="Times New Roman"/>
        </w:rPr>
        <w:t>qui prônaient, quant à eux, l’idée du libre-échange.</w:t>
      </w:r>
    </w:p>
    <w:p w14:paraId="6BF2455C" w14:textId="77777777" w:rsidR="00127E1B" w:rsidRPr="00947BD1" w:rsidRDefault="00127E1B" w:rsidP="00127E1B">
      <w:pPr>
        <w:spacing w:line="360" w:lineRule="auto"/>
        <w:jc w:val="both"/>
        <w:rPr>
          <w:rFonts w:ascii="Times New Roman" w:hAnsi="Times New Roman" w:cs="Times New Roman"/>
        </w:rPr>
      </w:pPr>
    </w:p>
    <w:p w14:paraId="485BB9BB" w14:textId="514B65CB" w:rsidR="00127E1B" w:rsidRDefault="00127E1B" w:rsidP="00127E1B">
      <w:pPr>
        <w:spacing w:line="360" w:lineRule="auto"/>
        <w:jc w:val="both"/>
        <w:rPr>
          <w:rFonts w:ascii="Times New Roman" w:hAnsi="Times New Roman" w:cs="Times New Roman"/>
        </w:rPr>
      </w:pPr>
      <w:r w:rsidRPr="00947BD1">
        <w:rPr>
          <w:rFonts w:ascii="Times New Roman" w:hAnsi="Times New Roman" w:cs="Times New Roman"/>
        </w:rPr>
        <w:t>Ainsi, afin de mieux comprendre les fondements de la notion de libre-échange, i</w:t>
      </w:r>
      <w:r>
        <w:rPr>
          <w:rFonts w:ascii="Times New Roman" w:hAnsi="Times New Roman" w:cs="Times New Roman"/>
        </w:rPr>
        <w:t>l convient de se référer à deux</w:t>
      </w:r>
      <w:r w:rsidRPr="00947BD1">
        <w:rPr>
          <w:rFonts w:ascii="Times New Roman" w:hAnsi="Times New Roman" w:cs="Times New Roman"/>
        </w:rPr>
        <w:t xml:space="preserve"> auteurs dont les idées furent véritablement remarquables. Pour ce faire, un aperçu de l’avantag</w:t>
      </w:r>
      <w:r>
        <w:rPr>
          <w:rFonts w:ascii="Times New Roman" w:hAnsi="Times New Roman" w:cs="Times New Roman"/>
        </w:rPr>
        <w:t>e absolu d’Adam Smith et</w:t>
      </w:r>
      <w:r w:rsidRPr="00947BD1">
        <w:rPr>
          <w:rFonts w:ascii="Times New Roman" w:hAnsi="Times New Roman" w:cs="Times New Roman"/>
        </w:rPr>
        <w:t xml:space="preserve"> de l’avan</w:t>
      </w:r>
      <w:r>
        <w:rPr>
          <w:rFonts w:ascii="Times New Roman" w:hAnsi="Times New Roman" w:cs="Times New Roman"/>
        </w:rPr>
        <w:t xml:space="preserve">tage comparatif de David Ricardo </w:t>
      </w:r>
      <w:r w:rsidRPr="003E4F47">
        <w:rPr>
          <w:rFonts w:ascii="Times New Roman" w:hAnsi="Times New Roman" w:cs="Times New Roman"/>
        </w:rPr>
        <w:t>semble indispensable.</w:t>
      </w:r>
      <w:r w:rsidRPr="00947BD1">
        <w:rPr>
          <w:rFonts w:ascii="Times New Roman" w:hAnsi="Times New Roman" w:cs="Times New Roman"/>
        </w:rPr>
        <w:t xml:space="preserve"> Il convient de constater que leurs idées ne peuvent être véritablement comprises que dans la mesure où elles sont considérées comme des réactions à la pensée mercantiliste</w:t>
      </w:r>
      <w:r w:rsidRPr="00947BD1">
        <w:rPr>
          <w:rStyle w:val="Marquenotebasdepage"/>
          <w:rFonts w:ascii="Times New Roman" w:hAnsi="Times New Roman" w:cs="Times New Roman"/>
        </w:rPr>
        <w:footnoteReference w:id="48"/>
      </w:r>
      <w:r w:rsidRPr="00947BD1">
        <w:rPr>
          <w:rFonts w:ascii="Times New Roman" w:hAnsi="Times New Roman" w:cs="Times New Roman"/>
        </w:rPr>
        <w:t>.</w:t>
      </w:r>
      <w:r w:rsidR="0010536A">
        <w:rPr>
          <w:rFonts w:ascii="Times New Roman" w:hAnsi="Times New Roman" w:cs="Times New Roman"/>
        </w:rPr>
        <w:t xml:space="preserve"> </w:t>
      </w:r>
    </w:p>
    <w:p w14:paraId="13C8A3C9" w14:textId="77777777" w:rsidR="00EE34CB" w:rsidRPr="00947BD1" w:rsidRDefault="00EE34CB" w:rsidP="00127E1B">
      <w:pPr>
        <w:spacing w:line="360" w:lineRule="auto"/>
        <w:jc w:val="both"/>
        <w:rPr>
          <w:rFonts w:ascii="Times New Roman" w:hAnsi="Times New Roman" w:cs="Times New Roman"/>
        </w:rPr>
      </w:pPr>
    </w:p>
    <w:p w14:paraId="0CC7F7B7" w14:textId="3C49BF23" w:rsidR="00127E1B" w:rsidRPr="006A3458" w:rsidRDefault="00127E1B" w:rsidP="006A3458">
      <w:pPr>
        <w:spacing w:line="360" w:lineRule="auto"/>
        <w:ind w:firstLine="708"/>
        <w:jc w:val="both"/>
        <w:rPr>
          <w:rFonts w:ascii="Times New Roman" w:hAnsi="Times New Roman" w:cs="Times New Roman"/>
          <w:smallCaps/>
          <w:u w:val="single"/>
        </w:rPr>
      </w:pPr>
      <w:r w:rsidRPr="00EE34CB">
        <w:rPr>
          <w:rFonts w:ascii="Times New Roman" w:hAnsi="Times New Roman" w:cs="Times New Roman"/>
          <w:smallCaps/>
          <w:u w:val="single"/>
        </w:rPr>
        <w:t xml:space="preserve">Sous-section 1 : Adam Smith </w:t>
      </w:r>
    </w:p>
    <w:p w14:paraId="1D81C2B8" w14:textId="2BE8B10B" w:rsidR="00B06B01" w:rsidRPr="00B06B01" w:rsidRDefault="00127E1B" w:rsidP="00B06B01">
      <w:pPr>
        <w:pStyle w:val="Paragraphedeliste"/>
        <w:numPr>
          <w:ilvl w:val="0"/>
          <w:numId w:val="16"/>
        </w:numPr>
        <w:spacing w:line="360" w:lineRule="auto"/>
        <w:jc w:val="both"/>
        <w:rPr>
          <w:rFonts w:ascii="Times New Roman" w:hAnsi="Times New Roman" w:cs="Times New Roman"/>
          <w:smallCaps/>
          <w:color w:val="262626"/>
          <w:u w:val="single"/>
        </w:rPr>
      </w:pPr>
      <w:r w:rsidRPr="00B06B01">
        <w:rPr>
          <w:rFonts w:ascii="Times New Roman" w:hAnsi="Times New Roman" w:cs="Times New Roman"/>
          <w:smallCaps/>
          <w:color w:val="262626"/>
          <w:u w:val="single"/>
        </w:rPr>
        <w:t>La main invisible</w:t>
      </w:r>
    </w:p>
    <w:p w14:paraId="66A2459D" w14:textId="77777777" w:rsidR="006A3458" w:rsidRPr="006A3458" w:rsidRDefault="006A3458" w:rsidP="006A3458">
      <w:pPr>
        <w:spacing w:line="360" w:lineRule="auto"/>
        <w:jc w:val="both"/>
        <w:rPr>
          <w:rFonts w:ascii="Times New Roman" w:hAnsi="Times New Roman" w:cs="Times New Roman"/>
        </w:rPr>
      </w:pPr>
      <w:r w:rsidRPr="006A3458">
        <w:rPr>
          <w:rFonts w:ascii="Times New Roman" w:hAnsi="Times New Roman" w:cs="Times New Roman"/>
        </w:rPr>
        <w:t>Adam Smith (1723-1790), philosophe et économiste des Lumières, est considéré comme le père des sciences économiques modernes</w:t>
      </w:r>
      <w:r w:rsidRPr="00947BD1">
        <w:rPr>
          <w:rStyle w:val="Marquenotebasdepage"/>
          <w:rFonts w:ascii="Times New Roman" w:hAnsi="Times New Roman" w:cs="Times New Roman"/>
        </w:rPr>
        <w:footnoteReference w:id="49"/>
      </w:r>
      <w:r w:rsidRPr="006A3458">
        <w:rPr>
          <w:rFonts w:ascii="Times New Roman" w:hAnsi="Times New Roman" w:cs="Times New Roman"/>
        </w:rPr>
        <w:t>. Il a inspiré les grands économistes qui poseront les principes du libéralisme économique.  Il convient de souligner que les idées prônées par celui-ci sont aux antipodes du courant mercantiliste</w:t>
      </w:r>
      <w:r w:rsidRPr="00947BD1">
        <w:rPr>
          <w:rStyle w:val="Marquenotebasdepage"/>
          <w:rFonts w:ascii="Times New Roman" w:hAnsi="Times New Roman" w:cs="Times New Roman"/>
        </w:rPr>
        <w:footnoteReference w:id="50"/>
      </w:r>
      <w:r w:rsidRPr="006A3458">
        <w:rPr>
          <w:rFonts w:ascii="Times New Roman" w:hAnsi="Times New Roman" w:cs="Times New Roman"/>
        </w:rPr>
        <w:t>. En effet, il plaide en faveur du libre-échange</w:t>
      </w:r>
      <w:r w:rsidRPr="00947BD1">
        <w:rPr>
          <w:rStyle w:val="Marquenotebasdepage"/>
          <w:rFonts w:ascii="Times New Roman" w:hAnsi="Times New Roman" w:cs="Times New Roman"/>
        </w:rPr>
        <w:footnoteReference w:id="51"/>
      </w:r>
      <w:r w:rsidRPr="006A3458">
        <w:rPr>
          <w:rFonts w:ascii="Times New Roman" w:hAnsi="Times New Roman" w:cs="Times New Roman"/>
        </w:rPr>
        <w:t xml:space="preserve"> de sorte que, selon lui, le commerce doit être synonyme de paix et d’enrichissement culturel. Il considère que le protectionnisme est une pratique qui tend à nuire au bon fonctionnement de l’économie. Il convient tout d’abord de se pencher sur la main invisible et ensuite sur la théorie de l’avantage absolu.</w:t>
      </w:r>
    </w:p>
    <w:p w14:paraId="74366A8B" w14:textId="77777777" w:rsidR="006A3458" w:rsidRDefault="006A3458" w:rsidP="003E4F47">
      <w:pPr>
        <w:spacing w:line="360" w:lineRule="auto"/>
        <w:jc w:val="both"/>
        <w:rPr>
          <w:rFonts w:ascii="Times New Roman" w:hAnsi="Times New Roman" w:cs="Times New Roman"/>
        </w:rPr>
      </w:pPr>
    </w:p>
    <w:p w14:paraId="63C8977F" w14:textId="1617D8E6" w:rsidR="00127E1B" w:rsidRPr="003E4F47" w:rsidRDefault="00127E1B" w:rsidP="003E4F47">
      <w:pPr>
        <w:spacing w:line="360" w:lineRule="auto"/>
        <w:jc w:val="both"/>
        <w:rPr>
          <w:rFonts w:ascii="Times New Roman" w:hAnsi="Times New Roman" w:cs="Times New Roman"/>
          <w:smallCaps/>
          <w:color w:val="262626"/>
          <w:u w:val="single"/>
        </w:rPr>
      </w:pPr>
      <w:r w:rsidRPr="003E4F47">
        <w:rPr>
          <w:rFonts w:ascii="Times New Roman" w:hAnsi="Times New Roman" w:cs="Times New Roman"/>
        </w:rPr>
        <w:t>Dans le Livre VI de la « Recherches sur la nature et les causes de la richesse des nations »</w:t>
      </w:r>
      <w:r>
        <w:rPr>
          <w:rStyle w:val="Marquenotebasdepage"/>
          <w:rFonts w:ascii="Times New Roman" w:hAnsi="Times New Roman" w:cs="Times New Roman"/>
        </w:rPr>
        <w:footnoteReference w:id="52"/>
      </w:r>
      <w:r w:rsidRPr="003E4F47">
        <w:rPr>
          <w:rFonts w:ascii="Times New Roman" w:hAnsi="Times New Roman" w:cs="Times New Roman"/>
        </w:rPr>
        <w:t>, Adam Smith définit la richesse comme étant la possession de métaux et de pierres précieuses</w:t>
      </w:r>
      <w:r w:rsidRPr="00947BD1">
        <w:rPr>
          <w:rStyle w:val="Marquenotebasdepage"/>
          <w:rFonts w:ascii="Times New Roman" w:hAnsi="Times New Roman" w:cs="Times New Roman"/>
        </w:rPr>
        <w:footnoteReference w:id="53"/>
      </w:r>
      <w:r w:rsidRPr="003E4F47">
        <w:rPr>
          <w:rFonts w:ascii="Times New Roman" w:hAnsi="Times New Roman" w:cs="Times New Roman"/>
        </w:rPr>
        <w:t>. Il faut remarquer que ce dernier partage la vision de la monnaie que proposait Aristote dans l’Antiquité</w:t>
      </w:r>
      <w:r>
        <w:rPr>
          <w:rStyle w:val="Marquenotebasdepage"/>
          <w:rFonts w:ascii="Times New Roman" w:hAnsi="Times New Roman" w:cs="Times New Roman"/>
        </w:rPr>
        <w:footnoteReference w:id="54"/>
      </w:r>
      <w:r w:rsidRPr="003E4F47">
        <w:rPr>
          <w:rFonts w:ascii="Times New Roman" w:hAnsi="Times New Roman" w:cs="Times New Roman"/>
        </w:rPr>
        <w:t>. L’économiste tend en effet à considérer que l’origine de la richesse se trouve dans le travail des hommes</w:t>
      </w:r>
      <w:r w:rsidRPr="00B06B01">
        <w:rPr>
          <w:rStyle w:val="Marquenotebasdepage"/>
          <w:rFonts w:ascii="Times New Roman" w:hAnsi="Times New Roman" w:cs="Times New Roman"/>
        </w:rPr>
        <w:footnoteReference w:id="55"/>
      </w:r>
      <w:r w:rsidRPr="003E4F47">
        <w:rPr>
          <w:rFonts w:ascii="Times New Roman" w:hAnsi="Times New Roman" w:cs="Times New Roman"/>
        </w:rPr>
        <w:t>. Il pose ainsi le fondement de la théorie « valeur-travail » qui sera théorisée par David Ricardo un siècle plus tard.</w:t>
      </w:r>
    </w:p>
    <w:p w14:paraId="2168DAA6" w14:textId="77777777" w:rsidR="00127E1B" w:rsidRPr="00947BD1" w:rsidRDefault="00127E1B" w:rsidP="00127E1B">
      <w:pPr>
        <w:spacing w:line="360" w:lineRule="auto"/>
        <w:jc w:val="both"/>
        <w:rPr>
          <w:rFonts w:ascii="Times New Roman" w:hAnsi="Times New Roman" w:cs="Times New Roman"/>
          <w:bCs/>
          <w:color w:val="262626"/>
        </w:rPr>
      </w:pPr>
    </w:p>
    <w:p w14:paraId="2035FF67" w14:textId="0B7B6F48" w:rsidR="00127E1B" w:rsidRPr="00E27EC7" w:rsidRDefault="00127E1B" w:rsidP="00127E1B">
      <w:pPr>
        <w:spacing w:line="360" w:lineRule="auto"/>
        <w:jc w:val="both"/>
        <w:rPr>
          <w:rFonts w:ascii="Times New Roman" w:hAnsi="Times New Roman" w:cs="Times New Roman"/>
          <w:bCs/>
          <w:color w:val="262626"/>
        </w:rPr>
      </w:pPr>
      <w:r w:rsidRPr="00947BD1">
        <w:rPr>
          <w:rFonts w:ascii="Times New Roman" w:hAnsi="Times New Roman" w:cs="Times New Roman"/>
        </w:rPr>
        <w:t xml:space="preserve">Dans ce même ouvrage, écrit en 1776, Adam Smith </w:t>
      </w:r>
      <w:r w:rsidR="006A3458">
        <w:rPr>
          <w:rFonts w:ascii="Times New Roman" w:hAnsi="Times New Roman" w:cs="Times New Roman"/>
        </w:rPr>
        <w:t>y décrit</w:t>
      </w:r>
      <w:r w:rsidRPr="00947BD1">
        <w:rPr>
          <w:rFonts w:ascii="Times New Roman" w:hAnsi="Times New Roman" w:cs="Times New Roman"/>
        </w:rPr>
        <w:t xml:space="preserve"> le mécanisme de la main invisible</w:t>
      </w:r>
      <w:r w:rsidRPr="00947BD1">
        <w:rPr>
          <w:rStyle w:val="Marquenotebasdepage"/>
          <w:rFonts w:ascii="Times New Roman" w:hAnsi="Times New Roman" w:cs="Times New Roman"/>
        </w:rPr>
        <w:footnoteReference w:id="56"/>
      </w:r>
      <w:r w:rsidRPr="00947BD1">
        <w:rPr>
          <w:rFonts w:ascii="Times New Roman" w:hAnsi="Times New Roman" w:cs="Times New Roman"/>
        </w:rPr>
        <w:t xml:space="preserve"> en ce sens que celui-ci tend à prôner le libre-échange comme une forme optimale d’organisation sociale. Selon l’économiste, </w:t>
      </w:r>
      <w:r w:rsidRPr="00E61A2E">
        <w:rPr>
          <w:rFonts w:ascii="Times New Roman" w:hAnsi="Times New Roman" w:cs="Times New Roman"/>
          <w:i/>
        </w:rPr>
        <w:t>« </w:t>
      </w:r>
      <w:r w:rsidRPr="00E61A2E">
        <w:rPr>
          <w:rFonts w:ascii="Times New Roman" w:hAnsi="Times New Roman" w:cs="Times New Roman"/>
          <w:bCs/>
          <w:i/>
          <w:color w:val="262626"/>
        </w:rPr>
        <w:t>la main invisible est bien la main de Dieu, et c’est l’origine divine qui fonde l’optimisme de Smith lorsqu’il constate la divergence des intérêts de classes au sein de la société marchande »</w:t>
      </w:r>
      <w:r w:rsidRPr="00947BD1">
        <w:rPr>
          <w:rStyle w:val="Marquenotebasdepage"/>
          <w:rFonts w:ascii="Times New Roman" w:hAnsi="Times New Roman" w:cs="Times New Roman"/>
          <w:color w:val="262626"/>
        </w:rPr>
        <w:footnoteReference w:id="57"/>
      </w:r>
      <w:r w:rsidRPr="00947BD1">
        <w:rPr>
          <w:rFonts w:ascii="Times New Roman" w:hAnsi="Times New Roman" w:cs="Times New Roman"/>
          <w:bCs/>
          <w:color w:val="262626"/>
        </w:rPr>
        <w:t xml:space="preserve">. </w:t>
      </w:r>
      <w:r w:rsidRPr="00947BD1">
        <w:rPr>
          <w:rFonts w:ascii="Times New Roman" w:hAnsi="Times New Roman" w:cs="Times New Roman"/>
        </w:rPr>
        <w:t>Il développe son idée selon laquelle les actions individuelles tendent à influer sur l’intérêt général</w:t>
      </w:r>
      <w:r w:rsidRPr="00EE34CB">
        <w:rPr>
          <w:rStyle w:val="Marquenotebasdepage"/>
          <w:rFonts w:ascii="Times New Roman" w:hAnsi="Times New Roman" w:cs="Times New Roman"/>
        </w:rPr>
        <w:footnoteReference w:id="58"/>
      </w:r>
      <w:r w:rsidRPr="00EE34CB">
        <w:rPr>
          <w:rFonts w:ascii="Times New Roman" w:hAnsi="Times New Roman" w:cs="Times New Roman"/>
        </w:rPr>
        <w:t xml:space="preserve">. La recherche de son propre intérêt bénéficie à tous les autres. </w:t>
      </w:r>
      <w:r w:rsidRPr="00EE34CB">
        <w:rPr>
          <w:rFonts w:ascii="Times New Roman" w:hAnsi="Times New Roman" w:cs="Times New Roman"/>
          <w:bCs/>
          <w:color w:val="262626"/>
        </w:rPr>
        <w:t>Ainsi, le libéralisme économique</w:t>
      </w:r>
      <w:r w:rsidRPr="00947BD1">
        <w:rPr>
          <w:rFonts w:ascii="Times New Roman" w:hAnsi="Times New Roman" w:cs="Times New Roman"/>
          <w:bCs/>
          <w:color w:val="262626"/>
        </w:rPr>
        <w:t xml:space="preserve"> se traduit par un concept selon lequel chaque individu agit dans son propre intérêt et c’est la somme de ces actions qui poursuit un but d’intérêt général. En conséquence, c’est la poursuite d’intérêt individuel qui tend au bon fonct</w:t>
      </w:r>
      <w:r w:rsidR="00811FBF">
        <w:rPr>
          <w:rFonts w:ascii="Times New Roman" w:hAnsi="Times New Roman" w:cs="Times New Roman"/>
          <w:bCs/>
          <w:color w:val="262626"/>
        </w:rPr>
        <w:t>ionnement général de l’économie</w:t>
      </w:r>
      <w:r w:rsidRPr="00947BD1">
        <w:rPr>
          <w:rStyle w:val="Marquenotebasdepage"/>
          <w:rFonts w:ascii="Times New Roman" w:hAnsi="Times New Roman" w:cs="Times New Roman"/>
          <w:color w:val="262626"/>
        </w:rPr>
        <w:footnoteReference w:id="59"/>
      </w:r>
      <w:r w:rsidR="00811FBF">
        <w:rPr>
          <w:rFonts w:ascii="Times New Roman" w:hAnsi="Times New Roman" w:cs="Times New Roman"/>
          <w:bCs/>
          <w:color w:val="262626"/>
        </w:rPr>
        <w:t xml:space="preserve">. </w:t>
      </w:r>
      <w:r w:rsidRPr="00947BD1">
        <w:rPr>
          <w:rFonts w:ascii="Times New Roman" w:hAnsi="Times New Roman" w:cs="Times New Roman"/>
        </w:rPr>
        <w:t xml:space="preserve">Cette main invisible serait la métaphore par laquelle Adam Smith signifie que les marchés sont autorégulateurs et conduisent à l’harmonie sociale. D’après cette interprétation, il s’interroge dans ses ouvrages, la « Richesse des nations » et la « Théorie des sentiments moraux », sur la manière dont une communauté où chaque individu se préoccupe avant tout de son intérêt personnel peut survivre. </w:t>
      </w:r>
      <w:r w:rsidRPr="003E4F47">
        <w:rPr>
          <w:rFonts w:ascii="Times New Roman" w:hAnsi="Times New Roman" w:cs="Times New Roman"/>
        </w:rPr>
        <w:t>En effet, les actions posées par les individus seraient coordonnées et rendues complémentaires par le marché et ce qu’il appelle la « main invisible »</w:t>
      </w:r>
      <w:r w:rsidRPr="003E4F47">
        <w:rPr>
          <w:rStyle w:val="Marquenotebasdepage"/>
          <w:rFonts w:ascii="Times New Roman" w:hAnsi="Times New Roman" w:cs="Times New Roman"/>
        </w:rPr>
        <w:footnoteReference w:id="60"/>
      </w:r>
      <w:r w:rsidRPr="003E4F47">
        <w:rPr>
          <w:rFonts w:ascii="Times New Roman" w:hAnsi="Times New Roman" w:cs="Times New Roman"/>
        </w:rPr>
        <w:t>. Selon Adam Smith, les « lois » du marché conduiraient à l’harmonie sociale si elles sont associées à la recherche de l’intérêt personnel des agents économiques. Si cette confrontation des intérêts individuels mène naturellement à la concurrence, elle amène également les individus à produire ce dont la société a besoin.</w:t>
      </w:r>
      <w:r>
        <w:rPr>
          <w:rFonts w:ascii="Times New Roman" w:hAnsi="Times New Roman" w:cs="Times New Roman"/>
        </w:rPr>
        <w:t xml:space="preserve"> </w:t>
      </w:r>
    </w:p>
    <w:p w14:paraId="5293D9D3" w14:textId="77777777" w:rsidR="00127E1B" w:rsidRDefault="00127E1B" w:rsidP="00127E1B">
      <w:pPr>
        <w:spacing w:line="360" w:lineRule="auto"/>
        <w:jc w:val="both"/>
        <w:rPr>
          <w:rFonts w:ascii="Times New Roman" w:hAnsi="Times New Roman" w:cs="Times New Roman"/>
        </w:rPr>
      </w:pPr>
    </w:p>
    <w:p w14:paraId="0D185177" w14:textId="3DEE14E8" w:rsidR="00127E1B" w:rsidRDefault="00127E1B" w:rsidP="00127E1B">
      <w:pPr>
        <w:spacing w:line="360" w:lineRule="auto"/>
        <w:jc w:val="both"/>
        <w:rPr>
          <w:rFonts w:ascii="Times New Roman" w:hAnsi="Times New Roman" w:cs="Times New Roman"/>
        </w:rPr>
      </w:pPr>
      <w:r>
        <w:rPr>
          <w:rFonts w:ascii="Times New Roman" w:hAnsi="Times New Roman" w:cs="Times New Roman"/>
        </w:rPr>
        <w:t>La notion de main invisible signifie ainsi qu’une société est capable de se conduire toute seule au bien commun</w:t>
      </w:r>
      <w:r w:rsidR="006A3458">
        <w:rPr>
          <w:rStyle w:val="Marquenotebasdepage"/>
          <w:rFonts w:ascii="Times New Roman" w:hAnsi="Times New Roman" w:cs="Times New Roman"/>
        </w:rPr>
        <w:footnoteReference w:id="61"/>
      </w:r>
      <w:r>
        <w:rPr>
          <w:rFonts w:ascii="Times New Roman" w:hAnsi="Times New Roman" w:cs="Times New Roman"/>
        </w:rPr>
        <w:t>. Elle exprime le fait que grâce à la division du travail, chacun dépend du travail des autres. Le bien général qui en découle est considéré comme le résultat automatique des volontés particulières</w:t>
      </w:r>
      <w:r w:rsidR="006A3458">
        <w:rPr>
          <w:rStyle w:val="Marquenotebasdepage"/>
          <w:rFonts w:ascii="Times New Roman" w:hAnsi="Times New Roman" w:cs="Times New Roman"/>
        </w:rPr>
        <w:footnoteReference w:id="62"/>
      </w:r>
      <w:r>
        <w:rPr>
          <w:rFonts w:ascii="Times New Roman" w:hAnsi="Times New Roman" w:cs="Times New Roman"/>
        </w:rPr>
        <w:t xml:space="preserve">. </w:t>
      </w:r>
    </w:p>
    <w:p w14:paraId="09D7C9F6" w14:textId="77777777" w:rsidR="00127E1B" w:rsidRPr="00947BD1" w:rsidRDefault="00127E1B" w:rsidP="00127E1B">
      <w:pPr>
        <w:spacing w:line="360" w:lineRule="auto"/>
        <w:jc w:val="both"/>
        <w:rPr>
          <w:rFonts w:ascii="Times New Roman" w:hAnsi="Times New Roman" w:cs="Times New Roman"/>
        </w:rPr>
      </w:pPr>
    </w:p>
    <w:p w14:paraId="366B9ADD" w14:textId="0253565C" w:rsidR="00127E1B" w:rsidRDefault="00127E1B" w:rsidP="00127E1B">
      <w:pPr>
        <w:spacing w:line="360" w:lineRule="auto"/>
        <w:jc w:val="both"/>
        <w:rPr>
          <w:rFonts w:ascii="Times New Roman" w:hAnsi="Times New Roman" w:cs="Times New Roman"/>
        </w:rPr>
      </w:pPr>
      <w:r w:rsidRPr="00B06B01">
        <w:rPr>
          <w:rFonts w:ascii="Times New Roman" w:hAnsi="Times New Roman" w:cs="Times New Roman"/>
        </w:rPr>
        <w:t>Somme toute, la main invisible assure de manière abstraite les flux entre l’offre et la demande.</w:t>
      </w:r>
      <w:r w:rsidRPr="00947BD1">
        <w:rPr>
          <w:rFonts w:ascii="Times New Roman" w:hAnsi="Times New Roman" w:cs="Times New Roman"/>
        </w:rPr>
        <w:t xml:space="preserve"> Afin de permettre </w:t>
      </w:r>
      <w:r>
        <w:rPr>
          <w:rFonts w:ascii="Times New Roman" w:hAnsi="Times New Roman" w:cs="Times New Roman"/>
        </w:rPr>
        <w:t>un fonctionnement efficace de celle-ci</w:t>
      </w:r>
      <w:r w:rsidRPr="00947BD1">
        <w:rPr>
          <w:rFonts w:ascii="Times New Roman" w:hAnsi="Times New Roman" w:cs="Times New Roman"/>
        </w:rPr>
        <w:t>, Adam Smith recommande de limiter l’intervention de l’Etat dans l’économie</w:t>
      </w:r>
      <w:r w:rsidRPr="00947BD1">
        <w:rPr>
          <w:rStyle w:val="Marquenotebasdepage"/>
          <w:rFonts w:ascii="Times New Roman" w:hAnsi="Times New Roman" w:cs="Times New Roman"/>
        </w:rPr>
        <w:footnoteReference w:id="63"/>
      </w:r>
      <w:r w:rsidRPr="00947BD1">
        <w:rPr>
          <w:rFonts w:ascii="Times New Roman" w:hAnsi="Times New Roman" w:cs="Times New Roman"/>
        </w:rPr>
        <w:t>. D’autres économistes, tels que Locke et Hume réfutent quant à eux catégoriquement toute intervention de l’Etat. Il convient de remarquer que le libre-échange met dès lors en exergue l’existence d’un Etat minimal</w:t>
      </w:r>
      <w:r w:rsidR="006A3458">
        <w:rPr>
          <w:rStyle w:val="Marquenotebasdepage"/>
          <w:rFonts w:ascii="Times New Roman" w:hAnsi="Times New Roman" w:cs="Times New Roman"/>
        </w:rPr>
        <w:footnoteReference w:id="64"/>
      </w:r>
      <w:r w:rsidRPr="00947BD1">
        <w:rPr>
          <w:rFonts w:ascii="Times New Roman" w:hAnsi="Times New Roman" w:cs="Times New Roman"/>
        </w:rPr>
        <w:t>.</w:t>
      </w:r>
      <w:r w:rsidR="00847646">
        <w:rPr>
          <w:rFonts w:ascii="Times New Roman" w:hAnsi="Times New Roman" w:cs="Times New Roman"/>
        </w:rPr>
        <w:t xml:space="preserve"> </w:t>
      </w:r>
    </w:p>
    <w:p w14:paraId="5920E879" w14:textId="77777777" w:rsidR="00127E1B" w:rsidRPr="00947BD1" w:rsidRDefault="00127E1B" w:rsidP="00127E1B">
      <w:pPr>
        <w:spacing w:line="360" w:lineRule="auto"/>
        <w:jc w:val="both"/>
        <w:rPr>
          <w:rFonts w:ascii="Times New Roman" w:hAnsi="Times New Roman" w:cs="Times New Roman"/>
        </w:rPr>
      </w:pPr>
    </w:p>
    <w:p w14:paraId="5E836224" w14:textId="663E2C50" w:rsidR="00127E1B" w:rsidRPr="00EE34CB" w:rsidRDefault="00932717" w:rsidP="00932717">
      <w:pPr>
        <w:spacing w:line="360" w:lineRule="auto"/>
        <w:ind w:firstLine="708"/>
        <w:jc w:val="both"/>
        <w:rPr>
          <w:rFonts w:ascii="Times New Roman" w:hAnsi="Times New Roman" w:cs="Times New Roman"/>
          <w:smallCaps/>
          <w:u w:val="single"/>
        </w:rPr>
      </w:pPr>
      <w:r>
        <w:rPr>
          <w:rFonts w:ascii="Times New Roman" w:hAnsi="Times New Roman" w:cs="Times New Roman"/>
          <w:smallCaps/>
          <w:u w:val="single"/>
        </w:rPr>
        <w:t xml:space="preserve">B. </w:t>
      </w:r>
      <w:r w:rsidR="00127E1B" w:rsidRPr="00EE34CB">
        <w:rPr>
          <w:rFonts w:ascii="Times New Roman" w:hAnsi="Times New Roman" w:cs="Times New Roman"/>
          <w:smallCaps/>
          <w:u w:val="single"/>
        </w:rPr>
        <w:t>L’avantage absolu</w:t>
      </w:r>
    </w:p>
    <w:p w14:paraId="7158E667" w14:textId="77777777" w:rsidR="00127E1B" w:rsidRPr="00947BD1" w:rsidRDefault="00127E1B" w:rsidP="00127E1B">
      <w:pPr>
        <w:spacing w:line="360" w:lineRule="auto"/>
        <w:jc w:val="both"/>
        <w:rPr>
          <w:rFonts w:ascii="Times New Roman" w:hAnsi="Times New Roman" w:cs="Times New Roman"/>
          <w:bCs/>
          <w:color w:val="262626"/>
        </w:rPr>
      </w:pPr>
      <w:r w:rsidRPr="00947BD1">
        <w:rPr>
          <w:rFonts w:ascii="Times New Roman" w:hAnsi="Times New Roman" w:cs="Times New Roman"/>
          <w:bCs/>
          <w:color w:val="262626"/>
        </w:rPr>
        <w:t>Il convient de souligner que, d’après Adam Smith,  le commerce entre deux nations est basé sur l’avantage absolu</w:t>
      </w:r>
      <w:r w:rsidRPr="00947BD1">
        <w:rPr>
          <w:rStyle w:val="Marquenotebasdepage"/>
          <w:rFonts w:ascii="Times New Roman" w:hAnsi="Times New Roman" w:cs="Times New Roman"/>
          <w:color w:val="262626"/>
        </w:rPr>
        <w:footnoteReference w:id="65"/>
      </w:r>
      <w:r w:rsidRPr="00947BD1">
        <w:rPr>
          <w:rFonts w:ascii="Times New Roman" w:hAnsi="Times New Roman" w:cs="Times New Roman"/>
          <w:bCs/>
          <w:color w:val="262626"/>
        </w:rPr>
        <w:t>. En développant cette théorie, il prend le contre pied de la vision mercantiliste en considérant qu’il faut d’avantage faire confiance aux individus qu’à l’Etat afin de prendre des décisions économiques</w:t>
      </w:r>
      <w:r w:rsidRPr="00947BD1">
        <w:rPr>
          <w:rStyle w:val="Marquenotebasdepage"/>
          <w:rFonts w:ascii="Times New Roman" w:hAnsi="Times New Roman" w:cs="Times New Roman"/>
          <w:color w:val="262626"/>
        </w:rPr>
        <w:footnoteReference w:id="66"/>
      </w:r>
      <w:r w:rsidRPr="00947BD1">
        <w:rPr>
          <w:rFonts w:ascii="Times New Roman" w:hAnsi="Times New Roman" w:cs="Times New Roman"/>
          <w:bCs/>
          <w:color w:val="262626"/>
        </w:rPr>
        <w:t xml:space="preserve">. </w:t>
      </w:r>
    </w:p>
    <w:p w14:paraId="7A8BE9C3" w14:textId="77777777" w:rsidR="00127E1B" w:rsidRPr="00947BD1" w:rsidRDefault="00127E1B" w:rsidP="00127E1B">
      <w:pPr>
        <w:spacing w:line="360" w:lineRule="auto"/>
        <w:jc w:val="both"/>
        <w:rPr>
          <w:rFonts w:ascii="Times New Roman" w:hAnsi="Times New Roman" w:cs="Times New Roman"/>
          <w:bCs/>
          <w:color w:val="262626"/>
        </w:rPr>
      </w:pPr>
    </w:p>
    <w:p w14:paraId="6493D0DA" w14:textId="5B37670A" w:rsidR="00127E1B" w:rsidRPr="00947BD1" w:rsidRDefault="00127E1B" w:rsidP="00127E1B">
      <w:pPr>
        <w:spacing w:line="360" w:lineRule="auto"/>
        <w:jc w:val="both"/>
        <w:rPr>
          <w:rFonts w:ascii="Times New Roman" w:hAnsi="Times New Roman" w:cs="Times New Roman"/>
          <w:bCs/>
          <w:color w:val="262626"/>
        </w:rPr>
      </w:pPr>
      <w:r w:rsidRPr="003E4F47">
        <w:rPr>
          <w:rFonts w:ascii="Times New Roman" w:hAnsi="Times New Roman" w:cs="Times New Roman"/>
          <w:bCs/>
          <w:color w:val="262626"/>
        </w:rPr>
        <w:t>Ainsi, quand une nation possède un avantage absolu supérieur dans la production d’un bien, mais possède un désavantage dans la production d’un second bien, chaque nation a un intérêt à se spécialiser dans la production du bien pour lequel elle dispose d’un avantage absolu</w:t>
      </w:r>
      <w:r w:rsidR="003E4F47" w:rsidRPr="003E4F47">
        <w:rPr>
          <w:rStyle w:val="Marquenotebasdepage"/>
          <w:rFonts w:ascii="Times New Roman" w:hAnsi="Times New Roman" w:cs="Times New Roman"/>
          <w:bCs/>
          <w:color w:val="262626"/>
        </w:rPr>
        <w:footnoteReference w:id="67"/>
      </w:r>
      <w:r w:rsidRPr="003E4F47">
        <w:rPr>
          <w:rFonts w:ascii="Times New Roman" w:hAnsi="Times New Roman" w:cs="Times New Roman"/>
          <w:bCs/>
          <w:color w:val="262626"/>
        </w:rPr>
        <w:t>. Cela signifie qu’il se spécialise à l’endroit où ses coûts de production sont inférieurs à ceux de tous les autres pays</w:t>
      </w:r>
      <w:r w:rsidR="003E4F47" w:rsidRPr="003E4F47">
        <w:rPr>
          <w:rStyle w:val="Marquenotebasdepage"/>
          <w:rFonts w:ascii="Times New Roman" w:hAnsi="Times New Roman" w:cs="Times New Roman"/>
          <w:bCs/>
          <w:color w:val="262626"/>
        </w:rPr>
        <w:footnoteReference w:id="68"/>
      </w:r>
      <w:r w:rsidRPr="003E4F47">
        <w:rPr>
          <w:rFonts w:ascii="Times New Roman" w:hAnsi="Times New Roman" w:cs="Times New Roman"/>
          <w:bCs/>
          <w:color w:val="262626"/>
        </w:rPr>
        <w:t>.</w:t>
      </w:r>
    </w:p>
    <w:p w14:paraId="15C03482" w14:textId="77777777" w:rsidR="00127E1B" w:rsidRPr="00947BD1" w:rsidRDefault="00127E1B" w:rsidP="00127E1B">
      <w:pPr>
        <w:spacing w:line="360" w:lineRule="auto"/>
        <w:jc w:val="both"/>
        <w:rPr>
          <w:rFonts w:ascii="Times New Roman" w:hAnsi="Times New Roman" w:cs="Times New Roman"/>
          <w:bCs/>
          <w:color w:val="262626"/>
        </w:rPr>
      </w:pPr>
      <w:r w:rsidRPr="00947BD1">
        <w:rPr>
          <w:rFonts w:ascii="Times New Roman" w:hAnsi="Times New Roman" w:cs="Times New Roman"/>
          <w:bCs/>
          <w:color w:val="262626"/>
        </w:rPr>
        <w:tab/>
      </w:r>
    </w:p>
    <w:p w14:paraId="09AB15A1" w14:textId="256C71BE" w:rsidR="00127E1B" w:rsidRPr="00947BD1" w:rsidRDefault="00127E1B" w:rsidP="00127E1B">
      <w:pPr>
        <w:spacing w:line="360" w:lineRule="auto"/>
        <w:jc w:val="both"/>
        <w:rPr>
          <w:rFonts w:ascii="Times New Roman" w:hAnsi="Times New Roman" w:cs="Times New Roman"/>
          <w:bCs/>
          <w:color w:val="262626"/>
        </w:rPr>
      </w:pPr>
      <w:r w:rsidRPr="00947BD1">
        <w:rPr>
          <w:rFonts w:ascii="Times New Roman" w:hAnsi="Times New Roman" w:cs="Times New Roman"/>
          <w:bCs/>
          <w:color w:val="262626"/>
        </w:rPr>
        <w:t>La théorie des avantages absolus tend à donner une justification de la division du travail. Ainsi, d’une part, les nations produisent et exportent de</w:t>
      </w:r>
      <w:r w:rsidR="0043680C">
        <w:rPr>
          <w:rFonts w:ascii="Times New Roman" w:hAnsi="Times New Roman" w:cs="Times New Roman"/>
          <w:bCs/>
          <w:color w:val="262626"/>
        </w:rPr>
        <w:t>s biens pour lesquels elles</w:t>
      </w:r>
      <w:r w:rsidRPr="00947BD1">
        <w:rPr>
          <w:rFonts w:ascii="Times New Roman" w:hAnsi="Times New Roman" w:cs="Times New Roman"/>
          <w:bCs/>
          <w:color w:val="262626"/>
        </w:rPr>
        <w:t xml:space="preserve"> sont les plus efficaces</w:t>
      </w:r>
      <w:r w:rsidRPr="00947BD1">
        <w:rPr>
          <w:rStyle w:val="Marquenotebasdepage"/>
          <w:rFonts w:ascii="Times New Roman" w:hAnsi="Times New Roman" w:cs="Times New Roman"/>
          <w:color w:val="262626"/>
        </w:rPr>
        <w:footnoteReference w:id="69"/>
      </w:r>
      <w:r w:rsidRPr="00947BD1">
        <w:rPr>
          <w:rFonts w:ascii="Times New Roman" w:hAnsi="Times New Roman" w:cs="Times New Roman"/>
          <w:bCs/>
          <w:color w:val="262626"/>
        </w:rPr>
        <w:t xml:space="preserve"> et, d’autre part, elles importent les biens pour lesquelles elles sont moins efficaces</w:t>
      </w:r>
      <w:r w:rsidRPr="00947BD1">
        <w:rPr>
          <w:rStyle w:val="Marquenotebasdepage"/>
          <w:rFonts w:ascii="Times New Roman" w:hAnsi="Times New Roman" w:cs="Times New Roman"/>
          <w:color w:val="262626"/>
        </w:rPr>
        <w:footnoteReference w:id="70"/>
      </w:r>
      <w:r w:rsidRPr="00947BD1">
        <w:rPr>
          <w:rFonts w:ascii="Times New Roman" w:hAnsi="Times New Roman" w:cs="Times New Roman"/>
          <w:bCs/>
          <w:color w:val="262626"/>
        </w:rPr>
        <w:t>. Ainsi, chaque travailleur se spécialise dans une étape de la production afin d’accroitre sa productivité ainsi que l’efficacité de son travail</w:t>
      </w:r>
      <w:r w:rsidRPr="00947BD1">
        <w:rPr>
          <w:rStyle w:val="Marquenotebasdepage"/>
          <w:rFonts w:ascii="Times New Roman" w:hAnsi="Times New Roman" w:cs="Times New Roman"/>
          <w:color w:val="262626"/>
        </w:rPr>
        <w:footnoteReference w:id="71"/>
      </w:r>
      <w:r w:rsidRPr="00947BD1">
        <w:rPr>
          <w:rFonts w:ascii="Times New Roman" w:hAnsi="Times New Roman" w:cs="Times New Roman"/>
          <w:bCs/>
          <w:color w:val="262626"/>
        </w:rPr>
        <w:t xml:space="preserve">. Il convient de souligner que la division du travail permet l’échange en ce sens </w:t>
      </w:r>
      <w:r w:rsidRPr="003E4F47">
        <w:rPr>
          <w:rFonts w:ascii="Times New Roman" w:hAnsi="Times New Roman" w:cs="Times New Roman"/>
          <w:bCs/>
          <w:color w:val="262626"/>
        </w:rPr>
        <w:t>que les nations vont échanger une partie de leur production contre les biens pour lesquels elles ont un désavantage absolu</w:t>
      </w:r>
      <w:r w:rsidRPr="003E4F47">
        <w:rPr>
          <w:rStyle w:val="Marquenotebasdepage"/>
          <w:rFonts w:ascii="Times New Roman" w:hAnsi="Times New Roman" w:cs="Times New Roman"/>
          <w:color w:val="262626"/>
        </w:rPr>
        <w:footnoteReference w:id="72"/>
      </w:r>
      <w:r w:rsidRPr="003E4F47">
        <w:rPr>
          <w:rFonts w:ascii="Times New Roman" w:hAnsi="Times New Roman" w:cs="Times New Roman"/>
          <w:bCs/>
          <w:color w:val="262626"/>
        </w:rPr>
        <w:t>.</w:t>
      </w:r>
    </w:p>
    <w:p w14:paraId="03697006" w14:textId="77777777" w:rsidR="00127E1B" w:rsidRPr="00947BD1" w:rsidRDefault="00127E1B" w:rsidP="00127E1B">
      <w:pPr>
        <w:spacing w:line="360" w:lineRule="auto"/>
        <w:jc w:val="both"/>
        <w:rPr>
          <w:rFonts w:ascii="Times New Roman" w:hAnsi="Times New Roman" w:cs="Times New Roman"/>
          <w:bCs/>
          <w:color w:val="262626"/>
        </w:rPr>
      </w:pPr>
      <w:r w:rsidRPr="00947BD1">
        <w:rPr>
          <w:rFonts w:ascii="Times New Roman" w:hAnsi="Times New Roman" w:cs="Times New Roman"/>
          <w:bCs/>
          <w:color w:val="262626"/>
        </w:rPr>
        <w:tab/>
      </w:r>
    </w:p>
    <w:p w14:paraId="7EFB41EF" w14:textId="7EDD4E34" w:rsidR="00127E1B" w:rsidRPr="00947BD1" w:rsidRDefault="00127E1B" w:rsidP="00127E1B">
      <w:pPr>
        <w:spacing w:line="360" w:lineRule="auto"/>
        <w:jc w:val="both"/>
        <w:rPr>
          <w:rFonts w:ascii="Times New Roman" w:hAnsi="Times New Roman" w:cs="Times New Roman"/>
          <w:bCs/>
          <w:color w:val="262626"/>
        </w:rPr>
      </w:pPr>
      <w:r w:rsidRPr="00947BD1">
        <w:rPr>
          <w:rFonts w:ascii="Times New Roman" w:hAnsi="Times New Roman" w:cs="Times New Roman"/>
          <w:bCs/>
          <w:color w:val="262626"/>
        </w:rPr>
        <w:t>En conséquence, « chaque type de bien est ainsi produit au coût de production le plus faible ». Pour certains produits, il est plus avantageux de les acheter à d’autres pays que de les fabriquer dans le pays d’origine</w:t>
      </w:r>
      <w:r w:rsidRPr="00947BD1">
        <w:rPr>
          <w:rStyle w:val="Marquenotebasdepage"/>
          <w:rFonts w:ascii="Times New Roman" w:hAnsi="Times New Roman" w:cs="Times New Roman"/>
          <w:color w:val="262626"/>
        </w:rPr>
        <w:footnoteReference w:id="73"/>
      </w:r>
      <w:r w:rsidRPr="00947BD1">
        <w:rPr>
          <w:rFonts w:ascii="Times New Roman" w:hAnsi="Times New Roman" w:cs="Times New Roman"/>
          <w:bCs/>
          <w:color w:val="262626"/>
        </w:rPr>
        <w:t>. Ce choix de processus permet d’utiliser les ressources de la façon la plus efficace et, par conséquent, la production des deux biens s’accroît.</w:t>
      </w:r>
      <w:r w:rsidRPr="00947BD1">
        <w:rPr>
          <w:rStyle w:val="Marquenotebasdepage"/>
          <w:rFonts w:ascii="Times New Roman" w:hAnsi="Times New Roman" w:cs="Times New Roman"/>
          <w:color w:val="262626"/>
        </w:rPr>
        <w:footnoteReference w:id="74"/>
      </w:r>
      <w:r w:rsidRPr="00947BD1">
        <w:rPr>
          <w:rFonts w:ascii="Times New Roman" w:hAnsi="Times New Roman" w:cs="Times New Roman"/>
          <w:bCs/>
          <w:color w:val="262626"/>
        </w:rPr>
        <w:t xml:space="preserve"> La production mondiale se fait ainsi au coût le plus faible</w:t>
      </w:r>
      <w:r w:rsidRPr="003E4F47">
        <w:rPr>
          <w:rFonts w:ascii="Times New Roman" w:hAnsi="Times New Roman" w:cs="Times New Roman"/>
          <w:bCs/>
          <w:color w:val="262626"/>
        </w:rPr>
        <w:t>. Cela peut être considéré comme étant la meilleure condition possible en économie.</w:t>
      </w:r>
    </w:p>
    <w:p w14:paraId="081D7107" w14:textId="77777777" w:rsidR="00127E1B" w:rsidRPr="00947BD1" w:rsidRDefault="00127E1B" w:rsidP="00127E1B">
      <w:pPr>
        <w:spacing w:line="360" w:lineRule="auto"/>
        <w:jc w:val="both"/>
        <w:rPr>
          <w:rFonts w:ascii="Times New Roman" w:hAnsi="Times New Roman" w:cs="Times New Roman"/>
        </w:rPr>
      </w:pPr>
    </w:p>
    <w:p w14:paraId="6C85CF1D" w14:textId="77777777" w:rsidR="00127E1B" w:rsidRPr="00EE34CB" w:rsidRDefault="00127E1B" w:rsidP="00EE34CB">
      <w:pPr>
        <w:spacing w:line="360" w:lineRule="auto"/>
        <w:ind w:firstLine="708"/>
        <w:jc w:val="both"/>
        <w:rPr>
          <w:rFonts w:ascii="Times New Roman" w:hAnsi="Times New Roman" w:cs="Times New Roman"/>
          <w:smallCaps/>
          <w:u w:val="single"/>
        </w:rPr>
      </w:pPr>
      <w:r w:rsidRPr="00EE34CB">
        <w:rPr>
          <w:rFonts w:ascii="Times New Roman" w:hAnsi="Times New Roman" w:cs="Times New Roman"/>
          <w:smallCaps/>
          <w:u w:val="single"/>
        </w:rPr>
        <w:t>Sous-section 2. David Ricardo et la théorie ricardienne</w:t>
      </w:r>
    </w:p>
    <w:p w14:paraId="646786DE" w14:textId="77777777" w:rsidR="00127E1B" w:rsidRPr="00947BD1" w:rsidRDefault="00127E1B" w:rsidP="00127E1B">
      <w:pPr>
        <w:spacing w:line="360" w:lineRule="auto"/>
        <w:jc w:val="both"/>
        <w:rPr>
          <w:rFonts w:ascii="Times New Roman" w:hAnsi="Times New Roman" w:cs="Times New Roman"/>
        </w:rPr>
      </w:pPr>
      <w:r w:rsidRPr="00947BD1">
        <w:rPr>
          <w:rFonts w:ascii="Times New Roman" w:hAnsi="Times New Roman" w:cs="Times New Roman"/>
        </w:rPr>
        <w:t>David Ricardo</w:t>
      </w:r>
      <w:r w:rsidRPr="00947BD1">
        <w:rPr>
          <w:rStyle w:val="Marquenotebasdepage"/>
          <w:rFonts w:ascii="Times New Roman" w:hAnsi="Times New Roman" w:cs="Times New Roman"/>
        </w:rPr>
        <w:footnoteReference w:id="75"/>
      </w:r>
      <w:r w:rsidRPr="00947BD1">
        <w:rPr>
          <w:rFonts w:ascii="Times New Roman" w:hAnsi="Times New Roman" w:cs="Times New Roman"/>
        </w:rPr>
        <w:t xml:space="preserve"> (1772-1823) est un économiste britannique qui a contribué à l’évolution de la notion de libre-échange. Opposé à la pratique protectionnisme et notamment aux « Corn Laws »</w:t>
      </w:r>
      <w:r w:rsidRPr="00947BD1">
        <w:rPr>
          <w:rStyle w:val="Marquenotebasdepage"/>
          <w:rFonts w:ascii="Times New Roman" w:hAnsi="Times New Roman" w:cs="Times New Roman"/>
        </w:rPr>
        <w:footnoteReference w:id="76"/>
      </w:r>
      <w:r w:rsidRPr="00947BD1">
        <w:rPr>
          <w:rFonts w:ascii="Times New Roman" w:hAnsi="Times New Roman" w:cs="Times New Roman"/>
        </w:rPr>
        <w:t>, il a développé la théorie de l’avantage comparatif</w:t>
      </w:r>
      <w:r w:rsidRPr="00947BD1">
        <w:rPr>
          <w:rStyle w:val="Marquenotebasdepage"/>
          <w:rFonts w:ascii="Times New Roman" w:hAnsi="Times New Roman" w:cs="Times New Roman"/>
        </w:rPr>
        <w:footnoteReference w:id="77"/>
      </w:r>
      <w:r w:rsidRPr="00947BD1">
        <w:rPr>
          <w:rFonts w:ascii="Times New Roman" w:hAnsi="Times New Roman" w:cs="Times New Roman"/>
        </w:rPr>
        <w:t>.</w:t>
      </w:r>
    </w:p>
    <w:p w14:paraId="72ADCBE3" w14:textId="77777777" w:rsidR="00127E1B" w:rsidRPr="00947BD1" w:rsidRDefault="00127E1B" w:rsidP="00127E1B">
      <w:pPr>
        <w:spacing w:line="360" w:lineRule="auto"/>
        <w:jc w:val="both"/>
        <w:rPr>
          <w:rFonts w:ascii="Times New Roman" w:hAnsi="Times New Roman" w:cs="Times New Roman"/>
        </w:rPr>
      </w:pPr>
    </w:p>
    <w:p w14:paraId="1073AA1F" w14:textId="77777777" w:rsidR="00127E1B" w:rsidRDefault="00127E1B" w:rsidP="00127E1B">
      <w:pPr>
        <w:spacing w:line="360" w:lineRule="auto"/>
        <w:jc w:val="both"/>
        <w:rPr>
          <w:rFonts w:ascii="Times New Roman" w:hAnsi="Times New Roman" w:cs="Times New Roman"/>
        </w:rPr>
      </w:pPr>
      <w:r w:rsidRPr="00947BD1">
        <w:rPr>
          <w:rFonts w:ascii="Times New Roman" w:hAnsi="Times New Roman" w:cs="Times New Roman"/>
        </w:rPr>
        <w:t>D’après cette théorie, qui compléta l’analyse réalisée auparavant par Smith, chaque pays a intérêt à se spécialiser dans le secteur pour lequel il dispose d’un avantage relatif de coût en ce sens qu’il détient l’avantage comparatif le plus élevé ou le désavantage comparatif le plus faible. Ricardo pose les fondements de sa théorie dans le chapitre VII des « Principes de l’économie politique et de l’impôt »</w:t>
      </w:r>
      <w:r w:rsidRPr="00947BD1">
        <w:rPr>
          <w:rStyle w:val="Marquenotebasdepage"/>
          <w:rFonts w:ascii="Times New Roman" w:hAnsi="Times New Roman" w:cs="Times New Roman"/>
        </w:rPr>
        <w:footnoteReference w:id="78"/>
      </w:r>
      <w:r w:rsidRPr="00947BD1">
        <w:rPr>
          <w:rFonts w:ascii="Times New Roman" w:hAnsi="Times New Roman" w:cs="Times New Roman"/>
        </w:rPr>
        <w:t>, écrit en 1817. Il y prône la théorie de la répartition et y défend avec ferveur le libre-échange qu’il tend à justifier, d’une part, par la théorie des avantages comparatifs, et d’autre part, par l’équilibrage automatique de la balance des comptes.</w:t>
      </w:r>
    </w:p>
    <w:p w14:paraId="4052150B" w14:textId="77777777" w:rsidR="00127E1B" w:rsidRPr="00947BD1" w:rsidRDefault="00127E1B" w:rsidP="00127E1B">
      <w:pPr>
        <w:spacing w:line="360" w:lineRule="auto"/>
        <w:jc w:val="both"/>
        <w:rPr>
          <w:rFonts w:ascii="Times New Roman" w:hAnsi="Times New Roman" w:cs="Times New Roman"/>
        </w:rPr>
      </w:pPr>
    </w:p>
    <w:p w14:paraId="27FE202A" w14:textId="57482173" w:rsidR="00127E1B" w:rsidRPr="00947BD1" w:rsidRDefault="00DE4BC5" w:rsidP="00127E1B">
      <w:pPr>
        <w:spacing w:line="360" w:lineRule="auto"/>
        <w:jc w:val="both"/>
        <w:rPr>
          <w:rFonts w:ascii="Times New Roman" w:hAnsi="Times New Roman" w:cs="Times New Roman"/>
        </w:rPr>
      </w:pPr>
      <w:r>
        <w:rPr>
          <w:rFonts w:ascii="Times New Roman" w:hAnsi="Times New Roman" w:cs="Times New Roman"/>
        </w:rPr>
        <w:t>Dans cet</w:t>
      </w:r>
      <w:r w:rsidR="00127E1B">
        <w:rPr>
          <w:rFonts w:ascii="Times New Roman" w:hAnsi="Times New Roman" w:cs="Times New Roman"/>
        </w:rPr>
        <w:t xml:space="preserve"> ouvrage, le point de départ de la théorie ricardienne est la comparaiso</w:t>
      </w:r>
      <w:r w:rsidR="00B06B01">
        <w:rPr>
          <w:rFonts w:ascii="Times New Roman" w:hAnsi="Times New Roman" w:cs="Times New Roman"/>
        </w:rPr>
        <w:t>n de deux économies en autarcie,</w:t>
      </w:r>
      <w:r w:rsidR="00127E1B">
        <w:rPr>
          <w:rFonts w:ascii="Times New Roman" w:hAnsi="Times New Roman" w:cs="Times New Roman"/>
        </w:rPr>
        <w:t xml:space="preserve"> </w:t>
      </w:r>
      <w:r w:rsidR="00127E1B" w:rsidRPr="00B06B01">
        <w:rPr>
          <w:rFonts w:ascii="Times New Roman" w:hAnsi="Times New Roman" w:cs="Times New Roman"/>
        </w:rPr>
        <w:t>le Portugal et l’Angleterre, qui produisent deux biens, le vin et les draps à partir de travail</w:t>
      </w:r>
      <w:r w:rsidR="00127E1B" w:rsidRPr="00B06B01">
        <w:rPr>
          <w:rStyle w:val="Marquenotebasdepage"/>
          <w:rFonts w:ascii="Times New Roman" w:hAnsi="Times New Roman" w:cs="Times New Roman"/>
        </w:rPr>
        <w:footnoteReference w:id="79"/>
      </w:r>
      <w:r w:rsidR="00127E1B" w:rsidRPr="00B06B01">
        <w:rPr>
          <w:rFonts w:ascii="Times New Roman" w:hAnsi="Times New Roman" w:cs="Times New Roman"/>
        </w:rPr>
        <w:t>. Selon l’exemple de l’économiste, les coûts de production, mesurés en homme-année, sont plus faibles dans la production des deux biens au Portugal. Ainsi, afin de produire une unité de drap et une unité de vin, il faut 90 et 80 hommes-année au Portugal et 100 et 120 hommes-années en Angleterre. Ces coûts de production plus faibles au Portugal qu’en Angl</w:t>
      </w:r>
      <w:r w:rsidRPr="00B06B01">
        <w:rPr>
          <w:rFonts w:ascii="Times New Roman" w:hAnsi="Times New Roman" w:cs="Times New Roman"/>
        </w:rPr>
        <w:t>eterre pour les deux biens</w:t>
      </w:r>
      <w:r w:rsidR="00127E1B" w:rsidRPr="00B06B01">
        <w:rPr>
          <w:rFonts w:ascii="Times New Roman" w:hAnsi="Times New Roman" w:cs="Times New Roman"/>
        </w:rPr>
        <w:t xml:space="preserve"> traduisent un avantage absolu du premier par rapport au second. En conséquence, ces deux pays ont intérêt d’une part, à se spécialiser et d’autre part, à échanger leur production. Il convient de souligner que les coûts unitaires relatifs de production du drap par rapport au vin ne sont pas identiques dans les deux pays : le ratio est de 100/120 en Angleterre et de 90/80 au Portugal. L’interprétation de ces coûts unitaires relatifs s’éclaire lorsque l’on raisonne sur leur implication dans une économie fermée. Pour augmenter la production de vin d’une unité au Portugal, il convient d’abandonner à 0,88 unité de drap, soit 80/90 et 1,125 unité de vin pourra ainsi être produite en renonçant à une unité de drap (90/80). Afin d’augmenter la production de vin d’une unité en Angleterre, il convient de dégager 120 hommes-année de la production de drap et donc renoncer à celle de 1,2 unité de drap (120/100). A</w:t>
      </w:r>
      <w:r w:rsidR="00B06B01">
        <w:rPr>
          <w:rFonts w:ascii="Times New Roman" w:hAnsi="Times New Roman" w:cs="Times New Roman"/>
        </w:rPr>
        <w:t xml:space="preserve"> </w:t>
      </w:r>
      <w:r w:rsidR="00127E1B" w:rsidRPr="00B06B01">
        <w:rPr>
          <w:rFonts w:ascii="Times New Roman" w:hAnsi="Times New Roman" w:cs="Times New Roman"/>
        </w:rPr>
        <w:t>l’inverse, pour accroître la production de drap d’une unité, il faudra abandonner la production d’environ 0,83 unité de vin (100/120). Il résulte de cette analyse que, comparativement</w:t>
      </w:r>
      <w:r w:rsidRPr="00B06B01">
        <w:rPr>
          <w:rFonts w:ascii="Times New Roman" w:hAnsi="Times New Roman" w:cs="Times New Roman"/>
        </w:rPr>
        <w:t>,</w:t>
      </w:r>
      <w:r w:rsidR="00127E1B" w:rsidRPr="00B06B01">
        <w:rPr>
          <w:rFonts w:ascii="Times New Roman" w:hAnsi="Times New Roman" w:cs="Times New Roman"/>
        </w:rPr>
        <w:t> le vin est plus difficile à produire que le drap en Angleterre alors qu’au Portugal, c’est l’inverse</w:t>
      </w:r>
      <w:r w:rsidR="00127E1B" w:rsidRPr="00B06B01">
        <w:rPr>
          <w:rStyle w:val="Marquenotebasdepage"/>
          <w:rFonts w:ascii="Times New Roman" w:hAnsi="Times New Roman" w:cs="Times New Roman"/>
        </w:rPr>
        <w:footnoteReference w:id="80"/>
      </w:r>
      <w:r w:rsidR="00127E1B" w:rsidRPr="00B06B01">
        <w:rPr>
          <w:rFonts w:ascii="Times New Roman" w:hAnsi="Times New Roman" w:cs="Times New Roman"/>
        </w:rPr>
        <w:t>.</w:t>
      </w:r>
      <w:r w:rsidR="00B06B01">
        <w:rPr>
          <w:rFonts w:ascii="Times New Roman" w:hAnsi="Times New Roman" w:cs="Times New Roman"/>
        </w:rPr>
        <w:t xml:space="preserve"> </w:t>
      </w:r>
      <w:r w:rsidR="00127E1B" w:rsidRPr="00947BD1">
        <w:rPr>
          <w:rFonts w:ascii="Times New Roman" w:hAnsi="Times New Roman" w:cs="Times New Roman"/>
        </w:rPr>
        <w:t xml:space="preserve"> </w:t>
      </w:r>
    </w:p>
    <w:p w14:paraId="5B24A494" w14:textId="77777777" w:rsidR="00127E1B" w:rsidRPr="00947BD1" w:rsidRDefault="00127E1B" w:rsidP="00127E1B">
      <w:pPr>
        <w:spacing w:line="360" w:lineRule="auto"/>
        <w:jc w:val="both"/>
        <w:rPr>
          <w:rFonts w:ascii="Times New Roman" w:hAnsi="Times New Roman" w:cs="Times New Roman"/>
        </w:rPr>
      </w:pPr>
    </w:p>
    <w:p w14:paraId="27CA99E2" w14:textId="6696F5A6" w:rsidR="00127E1B" w:rsidRPr="00947BD1" w:rsidRDefault="00127E1B" w:rsidP="00127E1B">
      <w:pPr>
        <w:spacing w:line="360" w:lineRule="auto"/>
        <w:jc w:val="both"/>
        <w:rPr>
          <w:rFonts w:ascii="Times New Roman" w:hAnsi="Times New Roman" w:cs="Times New Roman"/>
        </w:rPr>
      </w:pPr>
      <w:r w:rsidRPr="00947BD1">
        <w:rPr>
          <w:rFonts w:ascii="Times New Roman" w:hAnsi="Times New Roman" w:cs="Times New Roman"/>
        </w:rPr>
        <w:t>En conséquence, la théorie de l’avantage comparatif développé par Rica</w:t>
      </w:r>
      <w:r w:rsidR="00C6437C">
        <w:rPr>
          <w:rFonts w:ascii="Times New Roman" w:hAnsi="Times New Roman" w:cs="Times New Roman"/>
        </w:rPr>
        <w:t xml:space="preserve">rdo consiste dans le fait que </w:t>
      </w:r>
      <w:r w:rsidRPr="00947BD1">
        <w:rPr>
          <w:rFonts w:ascii="Times New Roman" w:hAnsi="Times New Roman" w:cs="Times New Roman"/>
        </w:rPr>
        <w:t>chaque pays a intérêt à se spécialiser dans la production de la marchandise pour laquelle il détient l’avantage comparatif le plus élevé ou le désava</w:t>
      </w:r>
      <w:r w:rsidR="00C6437C">
        <w:rPr>
          <w:rFonts w:ascii="Times New Roman" w:hAnsi="Times New Roman" w:cs="Times New Roman"/>
        </w:rPr>
        <w:t>ntage comparatif le plus faible.</w:t>
      </w:r>
      <w:r w:rsidRPr="00947BD1">
        <w:rPr>
          <w:rStyle w:val="Marquenotebasdepage"/>
          <w:rFonts w:ascii="Times New Roman" w:hAnsi="Times New Roman" w:cs="Times New Roman"/>
        </w:rPr>
        <w:footnoteReference w:id="81"/>
      </w:r>
      <w:r w:rsidRPr="00947BD1">
        <w:rPr>
          <w:rFonts w:ascii="Times New Roman" w:hAnsi="Times New Roman" w:cs="Times New Roman"/>
        </w:rPr>
        <w:t xml:space="preserve"> Le Portuga</w:t>
      </w:r>
      <w:r w:rsidR="00DE4BC5">
        <w:rPr>
          <w:rFonts w:ascii="Times New Roman" w:hAnsi="Times New Roman" w:cs="Times New Roman"/>
        </w:rPr>
        <w:t xml:space="preserve">l </w:t>
      </w:r>
      <w:r w:rsidRPr="00947BD1">
        <w:rPr>
          <w:rFonts w:ascii="Times New Roman" w:hAnsi="Times New Roman" w:cs="Times New Roman"/>
        </w:rPr>
        <w:t xml:space="preserve">va produire du vin </w:t>
      </w:r>
      <w:r w:rsidR="00DE4BC5">
        <w:rPr>
          <w:rFonts w:ascii="Times New Roman" w:hAnsi="Times New Roman" w:cs="Times New Roman"/>
        </w:rPr>
        <w:t>qu’il échangera</w:t>
      </w:r>
      <w:r w:rsidRPr="00947BD1">
        <w:rPr>
          <w:rFonts w:ascii="Times New Roman" w:hAnsi="Times New Roman" w:cs="Times New Roman"/>
        </w:rPr>
        <w:t xml:space="preserve"> s</w:t>
      </w:r>
      <w:r w:rsidR="00DE4BC5">
        <w:rPr>
          <w:rFonts w:ascii="Times New Roman" w:hAnsi="Times New Roman" w:cs="Times New Roman"/>
        </w:rPr>
        <w:t>elon un rapport d’une unité</w:t>
      </w:r>
      <w:r w:rsidRPr="00947BD1">
        <w:rPr>
          <w:rFonts w:ascii="Times New Roman" w:hAnsi="Times New Roman" w:cs="Times New Roman"/>
        </w:rPr>
        <w:t xml:space="preserve"> contre une quantité de drap supérieure à 0,88 un</w:t>
      </w:r>
      <w:r w:rsidR="00DE4BC5">
        <w:rPr>
          <w:rFonts w:ascii="Times New Roman" w:hAnsi="Times New Roman" w:cs="Times New Roman"/>
        </w:rPr>
        <w:t>ité et inférieure à 1,2 unité,</w:t>
      </w:r>
      <w:r w:rsidRPr="00947BD1">
        <w:rPr>
          <w:rFonts w:ascii="Times New Roman" w:hAnsi="Times New Roman" w:cs="Times New Roman"/>
        </w:rPr>
        <w:t xml:space="preserve">  les rapports d’échange nationaux en autarcie déterminant les deux bornes du rapport d’échange international. Ainsi, la théorie de Ricardo donne, d’une part, une explication quant à la composition du commerce international et, d’autre part, une </w:t>
      </w:r>
      <w:r w:rsidRPr="00DE4BC5">
        <w:rPr>
          <w:rFonts w:ascii="Times New Roman" w:hAnsi="Times New Roman" w:cs="Times New Roman"/>
        </w:rPr>
        <w:t>démonstration d</w:t>
      </w:r>
      <w:r w:rsidR="00DE4BC5" w:rsidRPr="00DE4BC5">
        <w:rPr>
          <w:rFonts w:ascii="Times New Roman" w:hAnsi="Times New Roman" w:cs="Times New Roman"/>
        </w:rPr>
        <w:t>es gains de l’échange entraînée</w:t>
      </w:r>
      <w:r w:rsidRPr="00DE4BC5">
        <w:rPr>
          <w:rFonts w:ascii="Times New Roman" w:hAnsi="Times New Roman" w:cs="Times New Roman"/>
        </w:rPr>
        <w:t xml:space="preserve"> par l’ouverture des frontières.</w:t>
      </w:r>
      <w:r w:rsidRPr="00DE4BC5">
        <w:rPr>
          <w:rStyle w:val="Marquenotebasdepage"/>
          <w:rFonts w:ascii="Times New Roman" w:hAnsi="Times New Roman" w:cs="Times New Roman"/>
        </w:rPr>
        <w:footnoteReference w:id="82"/>
      </w:r>
      <w:r w:rsidRPr="00DE4BC5">
        <w:rPr>
          <w:rFonts w:ascii="Times New Roman" w:hAnsi="Times New Roman" w:cs="Times New Roman"/>
        </w:rPr>
        <w:t xml:space="preserve"> </w:t>
      </w:r>
      <w:r w:rsidRPr="00B06B01">
        <w:rPr>
          <w:rFonts w:ascii="Times New Roman" w:hAnsi="Times New Roman" w:cs="Times New Roman"/>
        </w:rPr>
        <w:t>Outre les caractéristiques telles que les coûts de production</w:t>
      </w:r>
      <w:r w:rsidR="00DE4BC5" w:rsidRPr="00B06B01">
        <w:rPr>
          <w:rFonts w:ascii="Times New Roman" w:hAnsi="Times New Roman" w:cs="Times New Roman"/>
        </w:rPr>
        <w:t>,</w:t>
      </w:r>
      <w:r w:rsidRPr="00B06B01">
        <w:rPr>
          <w:rFonts w:ascii="Times New Roman" w:hAnsi="Times New Roman" w:cs="Times New Roman"/>
        </w:rPr>
        <w:t xml:space="preserve"> qui sont indépendants des quantités produites</w:t>
      </w:r>
      <w:r w:rsidR="00DE4BC5" w:rsidRPr="00B06B01">
        <w:rPr>
          <w:rFonts w:ascii="Times New Roman" w:hAnsi="Times New Roman" w:cs="Times New Roman"/>
        </w:rPr>
        <w:t>,</w:t>
      </w:r>
      <w:r w:rsidRPr="00B06B01">
        <w:rPr>
          <w:rFonts w:ascii="Times New Roman" w:hAnsi="Times New Roman" w:cs="Times New Roman"/>
        </w:rPr>
        <w:t xml:space="preserve"> et le travail</w:t>
      </w:r>
      <w:r w:rsidR="00DE4BC5" w:rsidRPr="00B06B01">
        <w:rPr>
          <w:rFonts w:ascii="Times New Roman" w:hAnsi="Times New Roman" w:cs="Times New Roman"/>
        </w:rPr>
        <w:t>,</w:t>
      </w:r>
      <w:r w:rsidRPr="00B06B01">
        <w:rPr>
          <w:rFonts w:ascii="Times New Roman" w:hAnsi="Times New Roman" w:cs="Times New Roman"/>
        </w:rPr>
        <w:t xml:space="preserve"> considéré</w:t>
      </w:r>
      <w:r w:rsidRPr="00947BD1">
        <w:rPr>
          <w:rFonts w:ascii="Times New Roman" w:hAnsi="Times New Roman" w:cs="Times New Roman"/>
        </w:rPr>
        <w:t xml:space="preserve"> comme seul facteur de production, elle est véritablement caractérisée par les techniques de production, qui sont différentes selon chaque pays et indépendantes des facteurs de production</w:t>
      </w:r>
      <w:r w:rsidRPr="00947BD1">
        <w:rPr>
          <w:rStyle w:val="Marquenotebasdepage"/>
          <w:rFonts w:ascii="Times New Roman" w:hAnsi="Times New Roman" w:cs="Times New Roman"/>
        </w:rPr>
        <w:footnoteReference w:id="83"/>
      </w:r>
      <w:r w:rsidR="006B08FC">
        <w:rPr>
          <w:rFonts w:ascii="Times New Roman" w:hAnsi="Times New Roman" w:cs="Times New Roman"/>
        </w:rPr>
        <w:t>.</w:t>
      </w:r>
    </w:p>
    <w:p w14:paraId="227E3DF5" w14:textId="77777777" w:rsidR="00127E1B" w:rsidRPr="00947BD1" w:rsidRDefault="00127E1B" w:rsidP="00127E1B">
      <w:pPr>
        <w:spacing w:line="360" w:lineRule="auto"/>
        <w:jc w:val="both"/>
        <w:rPr>
          <w:rFonts w:ascii="Times New Roman" w:hAnsi="Times New Roman" w:cs="Times New Roman"/>
        </w:rPr>
      </w:pPr>
    </w:p>
    <w:p w14:paraId="1F9928F7" w14:textId="2C254D06" w:rsidR="00127E1B" w:rsidRPr="00B06B01" w:rsidRDefault="00127E1B" w:rsidP="00127E1B">
      <w:pPr>
        <w:spacing w:line="360" w:lineRule="auto"/>
        <w:jc w:val="both"/>
        <w:rPr>
          <w:rFonts w:ascii="Times New Roman" w:hAnsi="Times New Roman" w:cs="Times New Roman"/>
          <w:bCs/>
          <w:color w:val="262626"/>
        </w:rPr>
      </w:pPr>
      <w:r w:rsidRPr="00B06B01">
        <w:rPr>
          <w:rFonts w:ascii="Times New Roman" w:hAnsi="Times New Roman" w:cs="Times New Roman"/>
        </w:rPr>
        <w:t xml:space="preserve">Ainsi, </w:t>
      </w:r>
      <w:r w:rsidRPr="00B06B01">
        <w:rPr>
          <w:rFonts w:ascii="Times New Roman" w:hAnsi="Times New Roman" w:cs="Times New Roman"/>
          <w:bCs/>
          <w:color w:val="262626"/>
        </w:rPr>
        <w:t>dans l’hypothèse où une nation a des coûts de production supérieurs pour tous les biens, elle devrait tous les importer. Ricardo a résol</w:t>
      </w:r>
      <w:r w:rsidR="00852FF4">
        <w:rPr>
          <w:rFonts w:ascii="Times New Roman" w:hAnsi="Times New Roman" w:cs="Times New Roman"/>
          <w:bCs/>
          <w:color w:val="262626"/>
        </w:rPr>
        <w:t>u ce problème en développant</w:t>
      </w:r>
      <w:r w:rsidRPr="00B06B01">
        <w:rPr>
          <w:rFonts w:ascii="Times New Roman" w:hAnsi="Times New Roman" w:cs="Times New Roman"/>
          <w:bCs/>
          <w:color w:val="262626"/>
        </w:rPr>
        <w:t xml:space="preserve"> la théorie des avantages comparatifs</w:t>
      </w:r>
      <w:r w:rsidRPr="00B06B01">
        <w:rPr>
          <w:rStyle w:val="Marquenotebasdepage"/>
          <w:rFonts w:ascii="Times New Roman" w:hAnsi="Times New Roman" w:cs="Times New Roman"/>
          <w:color w:val="262626"/>
        </w:rPr>
        <w:footnoteReference w:id="84"/>
      </w:r>
      <w:r w:rsidRPr="00B06B01">
        <w:rPr>
          <w:rFonts w:ascii="Times New Roman" w:hAnsi="Times New Roman" w:cs="Times New Roman"/>
          <w:bCs/>
          <w:color w:val="262626"/>
        </w:rPr>
        <w:t>. Pour ce faire, il recommande que chaque nation se spécialise dans le secteur où elle dispose d’un avantage relatif de coût</w:t>
      </w:r>
      <w:r w:rsidRPr="00B06B01">
        <w:rPr>
          <w:rStyle w:val="Marquenotebasdepage"/>
          <w:rFonts w:ascii="Times New Roman" w:hAnsi="Times New Roman" w:cs="Times New Roman"/>
          <w:color w:val="262626"/>
        </w:rPr>
        <w:footnoteReference w:id="85"/>
      </w:r>
      <w:r w:rsidR="00DE4BC5" w:rsidRPr="00B06B01">
        <w:rPr>
          <w:rFonts w:ascii="Times New Roman" w:hAnsi="Times New Roman" w:cs="Times New Roman"/>
          <w:bCs/>
          <w:color w:val="262626"/>
        </w:rPr>
        <w:t xml:space="preserve"> de sorte que</w:t>
      </w:r>
      <w:r w:rsidRPr="00B06B01">
        <w:rPr>
          <w:rFonts w:ascii="Times New Roman" w:hAnsi="Times New Roman" w:cs="Times New Roman"/>
          <w:bCs/>
          <w:color w:val="262626"/>
        </w:rPr>
        <w:t xml:space="preserve"> son avantage soit le plus grand, ou à l’inverse, que son désavantage soit le plus faible</w:t>
      </w:r>
      <w:r w:rsidRPr="00B06B01">
        <w:rPr>
          <w:rStyle w:val="Marquenotebasdepage"/>
          <w:rFonts w:ascii="Times New Roman" w:hAnsi="Times New Roman" w:cs="Times New Roman"/>
          <w:color w:val="262626"/>
        </w:rPr>
        <w:footnoteReference w:id="86"/>
      </w:r>
      <w:r w:rsidRPr="00B06B01">
        <w:rPr>
          <w:rFonts w:ascii="Times New Roman" w:hAnsi="Times New Roman" w:cs="Times New Roman"/>
          <w:bCs/>
          <w:color w:val="262626"/>
        </w:rPr>
        <w:t>. En conséquence, un pays qui serait désavan</w:t>
      </w:r>
      <w:r w:rsidR="00FE2912" w:rsidRPr="00B06B01">
        <w:rPr>
          <w:rFonts w:ascii="Times New Roman" w:hAnsi="Times New Roman" w:cs="Times New Roman"/>
          <w:bCs/>
          <w:color w:val="262626"/>
        </w:rPr>
        <w:t>tagé dans tous les secteurs doit</w:t>
      </w:r>
      <w:r w:rsidRPr="00B06B01">
        <w:rPr>
          <w:rFonts w:ascii="Times New Roman" w:hAnsi="Times New Roman" w:cs="Times New Roman"/>
          <w:bCs/>
          <w:color w:val="262626"/>
        </w:rPr>
        <w:t xml:space="preserve"> tendre néanmoins à se spécialiser dans l’un deux, et un pays avantagé partout ne produira pas tous les types de biens.</w:t>
      </w:r>
      <w:r w:rsidR="00FE2912" w:rsidRPr="00B06B01">
        <w:rPr>
          <w:rFonts w:ascii="Times New Roman" w:hAnsi="Times New Roman" w:cs="Times New Roman"/>
          <w:bCs/>
          <w:color w:val="262626"/>
        </w:rPr>
        <w:t xml:space="preserve"> </w:t>
      </w:r>
      <w:r w:rsidRPr="00B06B01">
        <w:rPr>
          <w:rFonts w:ascii="Times New Roman" w:hAnsi="Times New Roman" w:cs="Times New Roman"/>
          <w:bCs/>
          <w:color w:val="262626"/>
        </w:rPr>
        <w:t>Cette théorie justifie la div</w:t>
      </w:r>
      <w:r w:rsidR="00852FF4">
        <w:rPr>
          <w:rFonts w:ascii="Times New Roman" w:hAnsi="Times New Roman" w:cs="Times New Roman"/>
          <w:bCs/>
          <w:color w:val="262626"/>
        </w:rPr>
        <w:t xml:space="preserve">ision du travail. En effet, </w:t>
      </w:r>
      <w:r w:rsidRPr="00B06B01">
        <w:rPr>
          <w:rFonts w:ascii="Times New Roman" w:hAnsi="Times New Roman" w:cs="Times New Roman"/>
          <w:bCs/>
          <w:color w:val="262626"/>
        </w:rPr>
        <w:t>la spécialisation</w:t>
      </w:r>
      <w:r w:rsidRPr="00B06B01">
        <w:rPr>
          <w:rStyle w:val="Marquenotebasdepage"/>
          <w:rFonts w:ascii="Times New Roman" w:hAnsi="Times New Roman" w:cs="Times New Roman"/>
          <w:color w:val="262626"/>
        </w:rPr>
        <w:footnoteReference w:id="87"/>
      </w:r>
      <w:r w:rsidRPr="00B06B01">
        <w:rPr>
          <w:rFonts w:ascii="Times New Roman" w:hAnsi="Times New Roman" w:cs="Times New Roman"/>
          <w:bCs/>
          <w:color w:val="262626"/>
        </w:rPr>
        <w:t xml:space="preserve"> et l’échange</w:t>
      </w:r>
      <w:r w:rsidRPr="00B06B01">
        <w:rPr>
          <w:rStyle w:val="Marquenotebasdepage"/>
          <w:rFonts w:ascii="Times New Roman" w:hAnsi="Times New Roman" w:cs="Times New Roman"/>
          <w:color w:val="262626"/>
        </w:rPr>
        <w:footnoteReference w:id="88"/>
      </w:r>
      <w:r w:rsidRPr="00B06B01">
        <w:rPr>
          <w:rFonts w:ascii="Times New Roman" w:hAnsi="Times New Roman" w:cs="Times New Roman"/>
          <w:bCs/>
          <w:color w:val="262626"/>
        </w:rPr>
        <w:t xml:space="preserve"> vont permettre de produire de manière plus abondante et à un coût plus faible que dans l’hypothèse où un pays serait en autarcie</w:t>
      </w:r>
      <w:r w:rsidRPr="00B06B01">
        <w:rPr>
          <w:rStyle w:val="Marquenotebasdepage"/>
          <w:rFonts w:ascii="Times New Roman" w:hAnsi="Times New Roman" w:cs="Times New Roman"/>
          <w:color w:val="262626"/>
        </w:rPr>
        <w:footnoteReference w:id="89"/>
      </w:r>
      <w:r w:rsidRPr="00B06B01">
        <w:rPr>
          <w:rFonts w:ascii="Times New Roman" w:hAnsi="Times New Roman" w:cs="Times New Roman"/>
          <w:bCs/>
          <w:color w:val="262626"/>
        </w:rPr>
        <w:t xml:space="preserve">. </w:t>
      </w:r>
    </w:p>
    <w:p w14:paraId="51C55BC1" w14:textId="77777777" w:rsidR="00127E1B" w:rsidRPr="00B06B01" w:rsidRDefault="00127E1B" w:rsidP="00127E1B">
      <w:pPr>
        <w:spacing w:line="360" w:lineRule="auto"/>
        <w:jc w:val="both"/>
        <w:rPr>
          <w:rFonts w:ascii="Times New Roman" w:hAnsi="Times New Roman" w:cs="Times New Roman"/>
        </w:rPr>
      </w:pPr>
    </w:p>
    <w:p w14:paraId="7656FC48" w14:textId="77777777" w:rsidR="005F2794" w:rsidRDefault="00127E1B" w:rsidP="00127E1B">
      <w:pPr>
        <w:spacing w:line="360" w:lineRule="auto"/>
        <w:jc w:val="both"/>
        <w:rPr>
          <w:rFonts w:ascii="Times New Roman" w:hAnsi="Times New Roman" w:cs="Times New Roman"/>
          <w:bCs/>
          <w:color w:val="262626"/>
        </w:rPr>
      </w:pPr>
      <w:r w:rsidRPr="00B06B01">
        <w:rPr>
          <w:rFonts w:ascii="Times New Roman" w:hAnsi="Times New Roman" w:cs="Times New Roman"/>
          <w:bCs/>
          <w:color w:val="262626"/>
        </w:rPr>
        <w:t>En conclusion, Adam Smith et David Ricardo, dont les théories ont été développées précédemment, ont démontré l’avantage global qui résulte de la division du travail. Ainsi, la spécialisation permet aux partenaires de l’échange</w:t>
      </w:r>
      <w:r w:rsidRPr="00B06B01">
        <w:rPr>
          <w:rStyle w:val="Marquenotebasdepage"/>
          <w:rFonts w:ascii="Times New Roman" w:hAnsi="Times New Roman" w:cs="Times New Roman"/>
          <w:color w:val="262626"/>
        </w:rPr>
        <w:footnoteReference w:id="90"/>
      </w:r>
      <w:r w:rsidRPr="00B06B01">
        <w:rPr>
          <w:rFonts w:ascii="Times New Roman" w:hAnsi="Times New Roman" w:cs="Times New Roman"/>
          <w:bCs/>
          <w:color w:val="262626"/>
        </w:rPr>
        <w:t xml:space="preserve"> d’améliorer simultanément leur situation. Il convient de constater que l’échange est possible uniquement si chacun y trouve un avantage en ce sens que le prix auquel le pays achète un bien importé doit être inférieur au coût de production de ce même bien dans son propre pays</w:t>
      </w:r>
      <w:r w:rsidRPr="00B06B01">
        <w:rPr>
          <w:rStyle w:val="Marquenotebasdepage"/>
          <w:rFonts w:ascii="Times New Roman" w:hAnsi="Times New Roman" w:cs="Times New Roman"/>
          <w:color w:val="262626"/>
        </w:rPr>
        <w:footnoteReference w:id="91"/>
      </w:r>
      <w:r w:rsidRPr="00B06B01">
        <w:rPr>
          <w:rFonts w:ascii="Times New Roman" w:hAnsi="Times New Roman" w:cs="Times New Roman"/>
          <w:bCs/>
          <w:color w:val="262626"/>
        </w:rPr>
        <w:t>.</w:t>
      </w:r>
    </w:p>
    <w:p w14:paraId="18E00D24" w14:textId="77777777" w:rsidR="00C6437C" w:rsidRDefault="00C6437C" w:rsidP="00127E1B">
      <w:pPr>
        <w:spacing w:line="360" w:lineRule="auto"/>
        <w:jc w:val="both"/>
        <w:rPr>
          <w:rFonts w:ascii="Times New Roman" w:hAnsi="Times New Roman" w:cs="Times New Roman"/>
          <w:bCs/>
          <w:color w:val="262626"/>
        </w:rPr>
      </w:pPr>
    </w:p>
    <w:p w14:paraId="05AB3CE5" w14:textId="02A6AF78" w:rsidR="00127E1B" w:rsidRPr="00EE34CB" w:rsidRDefault="0009487B" w:rsidP="00127E1B">
      <w:pPr>
        <w:spacing w:line="360" w:lineRule="auto"/>
        <w:jc w:val="both"/>
        <w:rPr>
          <w:rFonts w:ascii="Times New Roman" w:hAnsi="Times New Roman" w:cs="Times New Roman"/>
          <w:b/>
          <w:bCs/>
          <w:smallCaps/>
          <w:color w:val="262626"/>
          <w:highlight w:val="lightGray"/>
        </w:rPr>
      </w:pPr>
      <w:r>
        <w:rPr>
          <w:rFonts w:ascii="Times New Roman" w:hAnsi="Times New Roman" w:cs="Times New Roman"/>
          <w:b/>
          <w:smallCaps/>
        </w:rPr>
        <w:t>Chapitre IV</w:t>
      </w:r>
      <w:r w:rsidR="00127E1B" w:rsidRPr="00EE34CB">
        <w:rPr>
          <w:rFonts w:ascii="Times New Roman" w:hAnsi="Times New Roman" w:cs="Times New Roman"/>
          <w:b/>
          <w:smallCaps/>
        </w:rPr>
        <w:t>. Le protectionnisme</w:t>
      </w:r>
    </w:p>
    <w:p w14:paraId="57B1B437" w14:textId="77777777" w:rsidR="00570190" w:rsidRDefault="00127E1B" w:rsidP="00127E1B">
      <w:pPr>
        <w:spacing w:line="360" w:lineRule="auto"/>
        <w:jc w:val="both"/>
        <w:rPr>
          <w:rFonts w:ascii="Times New Roman" w:hAnsi="Times New Roman" w:cs="Times New Roman"/>
          <w:smallCaps/>
          <w:u w:val="single"/>
        </w:rPr>
      </w:pPr>
      <w:r w:rsidRPr="00EE34CB">
        <w:rPr>
          <w:rFonts w:ascii="Times New Roman" w:hAnsi="Times New Roman" w:cs="Times New Roman"/>
          <w:smallCaps/>
          <w:u w:val="single"/>
        </w:rPr>
        <w:t>Section 1. La notion de protectionnisme</w:t>
      </w:r>
    </w:p>
    <w:p w14:paraId="169CD84C" w14:textId="575B75E6" w:rsidR="00127E1B" w:rsidRPr="00570190" w:rsidRDefault="00127E1B" w:rsidP="00127E1B">
      <w:pPr>
        <w:spacing w:line="360" w:lineRule="auto"/>
        <w:jc w:val="both"/>
        <w:rPr>
          <w:rFonts w:ascii="Times New Roman" w:hAnsi="Times New Roman" w:cs="Times New Roman"/>
          <w:smallCaps/>
          <w:u w:val="single"/>
        </w:rPr>
      </w:pPr>
      <w:r>
        <w:rPr>
          <w:rFonts w:ascii="Times New Roman" w:hAnsi="Times New Roman" w:cs="Times New Roman"/>
        </w:rPr>
        <w:t xml:space="preserve">Le protectionnisme est </w:t>
      </w:r>
      <w:r w:rsidRPr="00947BD1">
        <w:rPr>
          <w:rFonts w:ascii="Times New Roman" w:hAnsi="Times New Roman" w:cs="Times New Roman"/>
        </w:rPr>
        <w:t>une politique inte</w:t>
      </w:r>
      <w:r w:rsidR="008E35ED">
        <w:rPr>
          <w:rFonts w:ascii="Times New Roman" w:hAnsi="Times New Roman" w:cs="Times New Roman"/>
        </w:rPr>
        <w:t>rventionniste menée par un Etat</w:t>
      </w:r>
      <w:r>
        <w:rPr>
          <w:rFonts w:ascii="Times New Roman" w:hAnsi="Times New Roman" w:cs="Times New Roman"/>
        </w:rPr>
        <w:t xml:space="preserve"> en vue de </w:t>
      </w:r>
      <w:r w:rsidRPr="00947BD1">
        <w:rPr>
          <w:rFonts w:ascii="Times New Roman" w:hAnsi="Times New Roman" w:cs="Times New Roman"/>
        </w:rPr>
        <w:t xml:space="preserve">protéger </w:t>
      </w:r>
      <w:r>
        <w:rPr>
          <w:rFonts w:ascii="Times New Roman" w:hAnsi="Times New Roman" w:cs="Times New Roman"/>
        </w:rPr>
        <w:t>son économie interne de la concurrence d’autres Etats</w:t>
      </w:r>
      <w:r w:rsidR="00DB5B5C">
        <w:rPr>
          <w:rStyle w:val="Marquenotebasdepage"/>
          <w:rFonts w:ascii="Times New Roman" w:hAnsi="Times New Roman" w:cs="Times New Roman"/>
        </w:rPr>
        <w:footnoteReference w:id="92"/>
      </w:r>
      <w:r>
        <w:rPr>
          <w:rFonts w:ascii="Times New Roman" w:hAnsi="Times New Roman" w:cs="Times New Roman"/>
        </w:rPr>
        <w:t>. Il s’agit d’une politique économique qui a pour but principal d’équilibrer la balance commerciale d’un pays lorsque ses importations sont trop importantes et risque</w:t>
      </w:r>
      <w:r w:rsidR="00FE2912">
        <w:rPr>
          <w:rFonts w:ascii="Times New Roman" w:hAnsi="Times New Roman" w:cs="Times New Roman"/>
        </w:rPr>
        <w:t>nt</w:t>
      </w:r>
      <w:r>
        <w:rPr>
          <w:rFonts w:ascii="Times New Roman" w:hAnsi="Times New Roman" w:cs="Times New Roman"/>
        </w:rPr>
        <w:t xml:space="preserve"> de nuire à la production locale</w:t>
      </w:r>
      <w:r w:rsidR="005946F0">
        <w:rPr>
          <w:rStyle w:val="Marquenotebasdepage"/>
          <w:rFonts w:ascii="Times New Roman" w:hAnsi="Times New Roman" w:cs="Times New Roman"/>
        </w:rPr>
        <w:footnoteReference w:id="93"/>
      </w:r>
      <w:r>
        <w:rPr>
          <w:rFonts w:ascii="Times New Roman" w:hAnsi="Times New Roman" w:cs="Times New Roman"/>
        </w:rPr>
        <w:t xml:space="preserve">. </w:t>
      </w:r>
      <w:r w:rsidRPr="00947BD1">
        <w:rPr>
          <w:rFonts w:ascii="Times New Roman" w:hAnsi="Times New Roman" w:cs="Times New Roman"/>
        </w:rPr>
        <w:t xml:space="preserve">Les mesures protectionnistes consistent essentiellement à freiner les </w:t>
      </w:r>
      <w:r w:rsidRPr="00DB5B5C">
        <w:rPr>
          <w:rFonts w:ascii="Times New Roman" w:hAnsi="Times New Roman" w:cs="Times New Roman"/>
        </w:rPr>
        <w:t>importations</w:t>
      </w:r>
      <w:r w:rsidR="00DB5B5C">
        <w:rPr>
          <w:rFonts w:ascii="Times New Roman" w:hAnsi="Times New Roman" w:cs="Times New Roman"/>
        </w:rPr>
        <w:t xml:space="preserve"> et à</w:t>
      </w:r>
      <w:r w:rsidRPr="00947BD1">
        <w:rPr>
          <w:rFonts w:ascii="Times New Roman" w:hAnsi="Times New Roman" w:cs="Times New Roman"/>
        </w:rPr>
        <w:t xml:space="preserve"> encourager les </w:t>
      </w:r>
      <w:hyperlink r:id="rId10" w:history="1">
        <w:r w:rsidRPr="00947BD1">
          <w:rPr>
            <w:rFonts w:ascii="Times New Roman" w:hAnsi="Times New Roman" w:cs="Times New Roman"/>
          </w:rPr>
          <w:t>exportations</w:t>
        </w:r>
      </w:hyperlink>
      <w:r w:rsidR="005946F0">
        <w:rPr>
          <w:rStyle w:val="Marquenotebasdepage"/>
          <w:rFonts w:ascii="Times New Roman" w:hAnsi="Times New Roman" w:cs="Times New Roman"/>
        </w:rPr>
        <w:footnoteReference w:id="94"/>
      </w:r>
      <w:r w:rsidR="007A7E60">
        <w:rPr>
          <w:rFonts w:ascii="Times New Roman" w:hAnsi="Times New Roman" w:cs="Times New Roman"/>
        </w:rPr>
        <w:t>.</w:t>
      </w:r>
      <w:r w:rsidRPr="00947BD1">
        <w:rPr>
          <w:rFonts w:ascii="Times New Roman" w:hAnsi="Times New Roman" w:cs="Times New Roman"/>
        </w:rPr>
        <w:t xml:space="preserve"> Des institutions internationales comme le </w:t>
      </w:r>
      <w:hyperlink r:id="rId11" w:history="1">
        <w:r w:rsidRPr="00947BD1">
          <w:rPr>
            <w:rFonts w:ascii="Times New Roman" w:hAnsi="Times New Roman" w:cs="Times New Roman"/>
          </w:rPr>
          <w:t>GATT</w:t>
        </w:r>
      </w:hyperlink>
      <w:r w:rsidRPr="00947BD1">
        <w:rPr>
          <w:rFonts w:ascii="Times New Roman" w:hAnsi="Times New Roman" w:cs="Times New Roman"/>
        </w:rPr>
        <w:t xml:space="preserve"> puis l'</w:t>
      </w:r>
      <w:hyperlink r:id="rId12" w:history="1">
        <w:r w:rsidRPr="00947BD1">
          <w:rPr>
            <w:rFonts w:ascii="Times New Roman" w:hAnsi="Times New Roman" w:cs="Times New Roman"/>
          </w:rPr>
          <w:t>OMC</w:t>
        </w:r>
      </w:hyperlink>
      <w:r w:rsidR="00852FF4">
        <w:rPr>
          <w:rFonts w:ascii="Times New Roman" w:hAnsi="Times New Roman" w:cs="Times New Roman"/>
        </w:rPr>
        <w:t xml:space="preserve"> ont été créées afin d’</w:t>
      </w:r>
      <w:r w:rsidRPr="00947BD1">
        <w:rPr>
          <w:rFonts w:ascii="Times New Roman" w:hAnsi="Times New Roman" w:cs="Times New Roman"/>
        </w:rPr>
        <w:t>abaisser les barrières protectionnistes et en limiter autant que possible l'usage</w:t>
      </w:r>
      <w:r w:rsidRPr="00947BD1">
        <w:rPr>
          <w:rStyle w:val="Marquenotebasdepage"/>
          <w:rFonts w:ascii="Times New Roman" w:hAnsi="Times New Roman" w:cs="Times New Roman"/>
        </w:rPr>
        <w:footnoteReference w:id="95"/>
      </w:r>
      <w:r>
        <w:rPr>
          <w:rFonts w:ascii="Times New Roman" w:hAnsi="Times New Roman" w:cs="Times New Roman"/>
        </w:rPr>
        <w:t>.</w:t>
      </w:r>
    </w:p>
    <w:p w14:paraId="1A22A92A" w14:textId="77777777" w:rsidR="00127E1B" w:rsidRDefault="00127E1B" w:rsidP="00127E1B">
      <w:pPr>
        <w:spacing w:line="360" w:lineRule="auto"/>
        <w:jc w:val="both"/>
        <w:rPr>
          <w:rFonts w:ascii="Times New Roman" w:hAnsi="Times New Roman" w:cs="Times New Roman"/>
        </w:rPr>
      </w:pPr>
    </w:p>
    <w:p w14:paraId="2147CB75" w14:textId="77777777" w:rsidR="008E35ED" w:rsidRPr="00EE34CB" w:rsidRDefault="008E35ED" w:rsidP="008E35ED">
      <w:pPr>
        <w:spacing w:line="360" w:lineRule="auto"/>
        <w:jc w:val="both"/>
        <w:rPr>
          <w:rFonts w:ascii="Times New Roman" w:hAnsi="Times New Roman" w:cs="Times New Roman"/>
          <w:smallCaps/>
          <w:u w:val="single"/>
        </w:rPr>
      </w:pPr>
      <w:r w:rsidRPr="00EE34CB">
        <w:rPr>
          <w:rFonts w:ascii="Times New Roman" w:hAnsi="Times New Roman" w:cs="Times New Roman"/>
          <w:smallCaps/>
          <w:u w:val="single"/>
        </w:rPr>
        <w:t xml:space="preserve">Section 2. Les différentes formes de protectionnisme </w:t>
      </w:r>
    </w:p>
    <w:p w14:paraId="5A551A99" w14:textId="77777777" w:rsidR="008E35ED" w:rsidRPr="00912210" w:rsidRDefault="008E35ED" w:rsidP="008E35ED">
      <w:pPr>
        <w:spacing w:line="360" w:lineRule="auto"/>
        <w:jc w:val="both"/>
        <w:rPr>
          <w:rFonts w:ascii="Times New Roman" w:hAnsi="Times New Roman" w:cs="Times New Roman"/>
        </w:rPr>
      </w:pPr>
      <w:r w:rsidRPr="00947BD1">
        <w:rPr>
          <w:rFonts w:ascii="Times New Roman" w:hAnsi="Times New Roman" w:cs="Times New Roman"/>
        </w:rPr>
        <w:t>Il existe différents instruments d’a</w:t>
      </w:r>
      <w:r>
        <w:rPr>
          <w:rFonts w:ascii="Times New Roman" w:hAnsi="Times New Roman" w:cs="Times New Roman"/>
        </w:rPr>
        <w:t>ction sur les flux commerciaux. En premier lieu, il convient de mentionner</w:t>
      </w:r>
      <w:r w:rsidRPr="00947BD1">
        <w:rPr>
          <w:rFonts w:ascii="Times New Roman" w:hAnsi="Times New Roman" w:cs="Times New Roman"/>
        </w:rPr>
        <w:t xml:space="preserve"> </w:t>
      </w:r>
      <w:r>
        <w:rPr>
          <w:rFonts w:ascii="Times New Roman" w:hAnsi="Times New Roman" w:cs="Times New Roman"/>
        </w:rPr>
        <w:t>l</w:t>
      </w:r>
      <w:r w:rsidRPr="00947BD1">
        <w:rPr>
          <w:rFonts w:ascii="Times New Roman" w:hAnsi="Times New Roman" w:cs="Times New Roman"/>
        </w:rPr>
        <w:t>e droit de douane</w:t>
      </w:r>
      <w:r>
        <w:rPr>
          <w:rStyle w:val="Marquenotebasdepage"/>
          <w:rFonts w:ascii="Times New Roman" w:hAnsi="Times New Roman" w:cs="Times New Roman"/>
        </w:rPr>
        <w:footnoteReference w:id="96"/>
      </w:r>
      <w:r w:rsidRPr="00947BD1">
        <w:rPr>
          <w:rFonts w:ascii="Times New Roman" w:hAnsi="Times New Roman" w:cs="Times New Roman"/>
        </w:rPr>
        <w:t>.</w:t>
      </w:r>
      <w:r>
        <w:rPr>
          <w:rFonts w:ascii="Times New Roman" w:hAnsi="Times New Roman" w:cs="Times New Roman"/>
        </w:rPr>
        <w:t xml:space="preserve"> Un droit de douane est une imposition sous la forme d’une taxe perçue à l’importation mais également à l’exportation. Les droits de douane confèrent un avantage en matière de prix aux produits locaux similaires et accroissent les recettes publiques, l’accès aux marchés étant subordonné au paiement de ces droits</w:t>
      </w:r>
      <w:r>
        <w:rPr>
          <w:rStyle w:val="Marquenotebasdepage"/>
          <w:rFonts w:ascii="Times New Roman" w:hAnsi="Times New Roman" w:cs="Times New Roman"/>
        </w:rPr>
        <w:footnoteReference w:id="97"/>
      </w:r>
      <w:r>
        <w:rPr>
          <w:rFonts w:ascii="Times New Roman" w:hAnsi="Times New Roman" w:cs="Times New Roman"/>
        </w:rPr>
        <w:t xml:space="preserve">. </w:t>
      </w:r>
      <w:r w:rsidRPr="00570190">
        <w:rPr>
          <w:rFonts w:ascii="Times New Roman" w:hAnsi="Times New Roman" w:cs="Times New Roman"/>
        </w:rPr>
        <w:t>L’instauration d’un droit de douane produit un effet majeur sur la situation des consommateurs et des producteurs. En effet, pour un prix plus élevé, les consommateurs disposent d’une quantité de biens plus faibles</w:t>
      </w:r>
      <w:r w:rsidRPr="00570190">
        <w:rPr>
          <w:rStyle w:val="Marquenotebasdepage"/>
          <w:rFonts w:ascii="Times New Roman" w:hAnsi="Times New Roman" w:cs="Times New Roman"/>
        </w:rPr>
        <w:footnoteReference w:id="98"/>
      </w:r>
      <w:r w:rsidRPr="00570190">
        <w:rPr>
          <w:rFonts w:ascii="Times New Roman" w:hAnsi="Times New Roman" w:cs="Times New Roman"/>
        </w:rPr>
        <w:t>. Les producteurs voient, quant à eux, leur situation s’améliorer. Ils vendent ainsi une quantité de marchandises plus forte à un prix unitaire plus important</w:t>
      </w:r>
      <w:r w:rsidRPr="00570190">
        <w:rPr>
          <w:rStyle w:val="Marquenotebasdepage"/>
          <w:rFonts w:ascii="Times New Roman" w:hAnsi="Times New Roman" w:cs="Times New Roman"/>
        </w:rPr>
        <w:footnoteReference w:id="99"/>
      </w:r>
      <w:r w:rsidRPr="00570190">
        <w:rPr>
          <w:rFonts w:ascii="Times New Roman" w:hAnsi="Times New Roman" w:cs="Times New Roman"/>
        </w:rPr>
        <w:t>. Il convient de souligner qu’en comparant les situations des consommateurs et des producteurs, il y a globalement une perte de bien-être</w:t>
      </w:r>
      <w:r w:rsidRPr="00570190">
        <w:rPr>
          <w:rStyle w:val="Marquenotebasdepage"/>
          <w:rFonts w:ascii="Times New Roman" w:hAnsi="Times New Roman" w:cs="Times New Roman"/>
        </w:rPr>
        <w:footnoteReference w:id="100"/>
      </w:r>
      <w:r w:rsidRPr="00570190">
        <w:rPr>
          <w:rFonts w:ascii="Times New Roman" w:hAnsi="Times New Roman" w:cs="Times New Roman"/>
        </w:rPr>
        <w:t>.</w:t>
      </w:r>
    </w:p>
    <w:p w14:paraId="0DEA4A49" w14:textId="77777777" w:rsidR="008E35ED" w:rsidRPr="00947BD1" w:rsidRDefault="008E35ED" w:rsidP="008E35ED">
      <w:pPr>
        <w:spacing w:line="360" w:lineRule="auto"/>
        <w:jc w:val="both"/>
        <w:rPr>
          <w:rFonts w:ascii="Times New Roman" w:hAnsi="Times New Roman" w:cs="Times New Roman"/>
          <w:b/>
        </w:rPr>
      </w:pPr>
    </w:p>
    <w:p w14:paraId="33340FB8" w14:textId="1B416758" w:rsidR="008E35ED" w:rsidRPr="006B08FC" w:rsidRDefault="008E35ED" w:rsidP="008E35ED">
      <w:pPr>
        <w:spacing w:line="360" w:lineRule="auto"/>
        <w:jc w:val="both"/>
        <w:rPr>
          <w:rFonts w:ascii="Times New Roman" w:hAnsi="Times New Roman" w:cs="Times New Roman"/>
        </w:rPr>
      </w:pPr>
      <w:r>
        <w:rPr>
          <w:rFonts w:ascii="Times New Roman" w:hAnsi="Times New Roman" w:cs="Times New Roman"/>
        </w:rPr>
        <w:t>En second lieu, l</w:t>
      </w:r>
      <w:r w:rsidRPr="00947BD1">
        <w:rPr>
          <w:rFonts w:ascii="Times New Roman" w:hAnsi="Times New Roman" w:cs="Times New Roman"/>
        </w:rPr>
        <w:t>es barrières non tarifaires sont également une possibilité offerte aux pouvoirs publics d’agir sur les flux commerciaux</w:t>
      </w:r>
      <w:r w:rsidRPr="00947BD1">
        <w:rPr>
          <w:rStyle w:val="Marquenotebasdepage"/>
          <w:rFonts w:ascii="Times New Roman" w:hAnsi="Times New Roman" w:cs="Times New Roman"/>
        </w:rPr>
        <w:footnoteReference w:id="101"/>
      </w:r>
      <w:r w:rsidRPr="00947BD1">
        <w:rPr>
          <w:rFonts w:ascii="Times New Roman" w:hAnsi="Times New Roman" w:cs="Times New Roman"/>
        </w:rPr>
        <w:t>. Celles-ci regroupent différentes procédures notamment l’adoption de normes nationales de qualité auxquelles doivent répondre des produits vendus sur un territoire national déterminé.</w:t>
      </w:r>
      <w:r w:rsidRPr="00947BD1">
        <w:rPr>
          <w:rFonts w:ascii="Times New Roman" w:hAnsi="Times New Roman" w:cs="Times New Roman"/>
          <w:color w:val="FF0000"/>
        </w:rPr>
        <w:t xml:space="preserve"> </w:t>
      </w:r>
      <w:r w:rsidRPr="00947BD1">
        <w:rPr>
          <w:rFonts w:ascii="Times New Roman" w:hAnsi="Times New Roman" w:cs="Times New Roman"/>
        </w:rPr>
        <w:t>Théoriquement, ces mesures sont érigées afin de protéger les consommateurs</w:t>
      </w:r>
      <w:r w:rsidRPr="00947BD1">
        <w:rPr>
          <w:rStyle w:val="Marquenotebasdepage"/>
          <w:rFonts w:ascii="Times New Roman" w:hAnsi="Times New Roman" w:cs="Times New Roman"/>
        </w:rPr>
        <w:footnoteReference w:id="102"/>
      </w:r>
      <w:r w:rsidRPr="00947BD1">
        <w:rPr>
          <w:rFonts w:ascii="Times New Roman" w:hAnsi="Times New Roman" w:cs="Times New Roman"/>
        </w:rPr>
        <w:t>. Elles peuvent cependant être utilisées à des fins protectionnistes</w:t>
      </w:r>
      <w:r w:rsidR="004B61BC">
        <w:rPr>
          <w:rStyle w:val="Marquenotebasdepage"/>
          <w:rFonts w:ascii="Times New Roman" w:hAnsi="Times New Roman" w:cs="Times New Roman"/>
        </w:rPr>
        <w:footnoteReference w:id="103"/>
      </w:r>
      <w:r w:rsidRPr="00947BD1">
        <w:rPr>
          <w:rFonts w:ascii="Times New Roman" w:hAnsi="Times New Roman" w:cs="Times New Roman"/>
        </w:rPr>
        <w:t xml:space="preserve">. </w:t>
      </w:r>
      <w:r w:rsidRPr="006B08FC">
        <w:rPr>
          <w:rFonts w:ascii="Times New Roman" w:hAnsi="Times New Roman" w:cs="Times New Roman"/>
        </w:rPr>
        <w:t xml:space="preserve">Il convient de distinguer deux catégories de barrières non tarifaires. </w:t>
      </w:r>
      <w:r w:rsidR="00852FF4">
        <w:rPr>
          <w:rFonts w:ascii="Times New Roman" w:hAnsi="Times New Roman" w:cs="Times New Roman"/>
        </w:rPr>
        <w:t>En premier lieu, il y a</w:t>
      </w:r>
      <w:r w:rsidRPr="006B08FC">
        <w:rPr>
          <w:rFonts w:ascii="Times New Roman" w:hAnsi="Times New Roman" w:cs="Times New Roman"/>
        </w:rPr>
        <w:t xml:space="preserve"> celles qui court-circuitent le</w:t>
      </w:r>
      <w:r w:rsidR="00852FF4">
        <w:rPr>
          <w:rFonts w:ascii="Times New Roman" w:hAnsi="Times New Roman" w:cs="Times New Roman"/>
        </w:rPr>
        <w:t>s règles édictées par le GATT, e</w:t>
      </w:r>
      <w:r w:rsidRPr="006B08FC">
        <w:rPr>
          <w:rFonts w:ascii="Times New Roman" w:hAnsi="Times New Roman" w:cs="Times New Roman"/>
        </w:rPr>
        <w:t>lles concernent les restrictions directes aux exportations entre partenaires sociaux</w:t>
      </w:r>
      <w:r w:rsidR="00852FF4">
        <w:rPr>
          <w:rFonts w:ascii="Times New Roman" w:hAnsi="Times New Roman" w:cs="Times New Roman"/>
        </w:rPr>
        <w:t>. En second lieu, il y a</w:t>
      </w:r>
      <w:r w:rsidRPr="006B08FC">
        <w:rPr>
          <w:rFonts w:ascii="Times New Roman" w:hAnsi="Times New Roman" w:cs="Times New Roman"/>
        </w:rPr>
        <w:t xml:space="preserve"> celles qui détournent les règles édictées par l</w:t>
      </w:r>
      <w:r w:rsidR="00FE2912" w:rsidRPr="006B08FC">
        <w:rPr>
          <w:rFonts w:ascii="Times New Roman" w:hAnsi="Times New Roman" w:cs="Times New Roman"/>
        </w:rPr>
        <w:t>e GATT, les obstacles indirects, p</w:t>
      </w:r>
      <w:r w:rsidRPr="006B08FC">
        <w:rPr>
          <w:rFonts w:ascii="Times New Roman" w:hAnsi="Times New Roman" w:cs="Times New Roman"/>
        </w:rPr>
        <w:t>armi ceux-ci, il faut souligner les mesures antidumping ainsi que les droits compensateurs</w:t>
      </w:r>
      <w:r w:rsidRPr="006B08FC">
        <w:rPr>
          <w:rStyle w:val="Marquenotebasdepage"/>
          <w:rFonts w:ascii="Times New Roman" w:hAnsi="Times New Roman" w:cs="Times New Roman"/>
        </w:rPr>
        <w:footnoteReference w:id="104"/>
      </w:r>
      <w:r w:rsidR="00852FF4">
        <w:rPr>
          <w:rFonts w:ascii="Times New Roman" w:hAnsi="Times New Roman" w:cs="Times New Roman"/>
        </w:rPr>
        <w:t xml:space="preserve">. Ces derniers </w:t>
      </w:r>
      <w:r w:rsidRPr="006B08FC">
        <w:rPr>
          <w:rFonts w:ascii="Times New Roman" w:hAnsi="Times New Roman" w:cs="Times New Roman"/>
        </w:rPr>
        <w:t>sont des mécanismes qui sont très souvent détournés à des fins protectionnistes</w:t>
      </w:r>
      <w:r w:rsidRPr="006B08FC">
        <w:rPr>
          <w:rStyle w:val="Marquenotebasdepage"/>
          <w:rFonts w:ascii="Times New Roman" w:hAnsi="Times New Roman" w:cs="Times New Roman"/>
        </w:rPr>
        <w:footnoteReference w:id="105"/>
      </w:r>
      <w:r w:rsidRPr="006B08FC">
        <w:rPr>
          <w:rFonts w:ascii="Times New Roman" w:hAnsi="Times New Roman" w:cs="Times New Roman"/>
        </w:rPr>
        <w:t>. Ils représentent ainsi véritablement un détournement des mécanismes afin de maintenir une concurrence déloyale. Le mode de fonctionnement des institutions nationales mais également des organes législatifs dans les procédures concernant les droits antidumpi</w:t>
      </w:r>
      <w:r w:rsidR="006B08FC" w:rsidRPr="006B08FC">
        <w:rPr>
          <w:rFonts w:ascii="Times New Roman" w:hAnsi="Times New Roman" w:cs="Times New Roman"/>
        </w:rPr>
        <w:t>ng et les mesures compensatoires</w:t>
      </w:r>
      <w:r w:rsidRPr="006B08FC">
        <w:rPr>
          <w:rFonts w:ascii="Times New Roman" w:hAnsi="Times New Roman" w:cs="Times New Roman"/>
        </w:rPr>
        <w:t xml:space="preserve"> encouragent le détournement de ces droits et mesures</w:t>
      </w:r>
      <w:r w:rsidR="004B61BC" w:rsidRPr="006B08FC">
        <w:rPr>
          <w:rStyle w:val="Marquenotebasdepage"/>
          <w:rFonts w:ascii="Times New Roman" w:hAnsi="Times New Roman" w:cs="Times New Roman"/>
        </w:rPr>
        <w:footnoteReference w:id="106"/>
      </w:r>
      <w:r w:rsidRPr="006B08FC">
        <w:rPr>
          <w:rFonts w:ascii="Times New Roman" w:hAnsi="Times New Roman" w:cs="Times New Roman"/>
        </w:rPr>
        <w:t>. Ce phénomène peut s’expliquer, d’une part, par le fait qu’aucune pénalité n’est prévue en cas de recours abusif et d’autre part, parce que ces procédures ne prévoient pas que le juge et les plaignants soient de nationalités différentes lorsque l’on suspecte qu’une mesure ait été détournée à des fins protectionnistes</w:t>
      </w:r>
      <w:r w:rsidR="004B61BC" w:rsidRPr="006B08FC">
        <w:rPr>
          <w:rStyle w:val="Marquenotebasdepage"/>
          <w:rFonts w:ascii="Times New Roman" w:hAnsi="Times New Roman" w:cs="Times New Roman"/>
        </w:rPr>
        <w:footnoteReference w:id="107"/>
      </w:r>
      <w:r w:rsidRPr="006B08FC">
        <w:rPr>
          <w:rFonts w:ascii="Times New Roman" w:hAnsi="Times New Roman" w:cs="Times New Roman"/>
        </w:rPr>
        <w:t>.</w:t>
      </w:r>
    </w:p>
    <w:p w14:paraId="6F4BE6F3" w14:textId="77777777" w:rsidR="008E35ED" w:rsidRPr="006B08FC" w:rsidRDefault="008E35ED" w:rsidP="008E35ED">
      <w:pPr>
        <w:spacing w:line="360" w:lineRule="auto"/>
        <w:jc w:val="both"/>
        <w:rPr>
          <w:rFonts w:ascii="Times New Roman" w:hAnsi="Times New Roman" w:cs="Times New Roman"/>
        </w:rPr>
      </w:pPr>
    </w:p>
    <w:p w14:paraId="4DE7E1B3" w14:textId="4966EF43" w:rsidR="008E35ED" w:rsidRPr="006B08FC" w:rsidRDefault="008E35ED" w:rsidP="008E35ED">
      <w:pPr>
        <w:spacing w:line="360" w:lineRule="auto"/>
        <w:jc w:val="both"/>
        <w:rPr>
          <w:rFonts w:ascii="Times New Roman" w:hAnsi="Times New Roman" w:cs="Times New Roman"/>
        </w:rPr>
      </w:pPr>
      <w:r w:rsidRPr="006B08FC">
        <w:rPr>
          <w:rFonts w:ascii="Times New Roman" w:hAnsi="Times New Roman" w:cs="Times New Roman"/>
        </w:rPr>
        <w:t>Il apparaît que la prolifération des barrières non tarifaires et des mesures de protection appliquées parallèlement à des réductions de droit de douane peuvent être l’indice d’une protection permanente</w:t>
      </w:r>
      <w:r w:rsidRPr="006B08FC">
        <w:rPr>
          <w:rStyle w:val="Marquenotebasdepage"/>
          <w:rFonts w:ascii="Times New Roman" w:hAnsi="Times New Roman" w:cs="Times New Roman"/>
        </w:rPr>
        <w:footnoteReference w:id="108"/>
      </w:r>
      <w:r w:rsidRPr="006B08FC">
        <w:rPr>
          <w:rFonts w:ascii="Times New Roman" w:hAnsi="Times New Roman" w:cs="Times New Roman"/>
        </w:rPr>
        <w:t>. En effet, la réduction de ce type de protection peut avoir pour effet qu’elles réapparaissent sous une autre forme. Il ne s’agira dès lors pas d’une montée mais plutôt d’un déplacement du protectionnisme</w:t>
      </w:r>
      <w:r w:rsidR="004B61BC" w:rsidRPr="006B08FC">
        <w:rPr>
          <w:rStyle w:val="Marquenotebasdepage"/>
          <w:rFonts w:ascii="Times New Roman" w:hAnsi="Times New Roman" w:cs="Times New Roman"/>
        </w:rPr>
        <w:footnoteReference w:id="109"/>
      </w:r>
      <w:r w:rsidRPr="006B08FC">
        <w:rPr>
          <w:rFonts w:ascii="Times New Roman" w:hAnsi="Times New Roman" w:cs="Times New Roman"/>
        </w:rPr>
        <w:t>.</w:t>
      </w:r>
    </w:p>
    <w:p w14:paraId="53CA7FBF" w14:textId="77777777" w:rsidR="008E35ED" w:rsidRPr="006B08FC" w:rsidRDefault="008E35ED" w:rsidP="008E35ED">
      <w:pPr>
        <w:spacing w:line="360" w:lineRule="auto"/>
        <w:jc w:val="both"/>
        <w:rPr>
          <w:rFonts w:ascii="Times New Roman" w:hAnsi="Times New Roman" w:cs="Times New Roman"/>
        </w:rPr>
      </w:pPr>
    </w:p>
    <w:p w14:paraId="1A93958F" w14:textId="77777777" w:rsidR="008E35ED" w:rsidRPr="006B08FC" w:rsidRDefault="008E35ED" w:rsidP="008E35ED">
      <w:pPr>
        <w:spacing w:line="360" w:lineRule="auto"/>
        <w:jc w:val="both"/>
        <w:rPr>
          <w:rFonts w:ascii="Times New Roman" w:hAnsi="Times New Roman" w:cs="Times New Roman"/>
        </w:rPr>
      </w:pPr>
      <w:r w:rsidRPr="006B08FC">
        <w:rPr>
          <w:rFonts w:ascii="Times New Roman" w:hAnsi="Times New Roman" w:cs="Times New Roman"/>
        </w:rPr>
        <w:t>Des règles comme le principe de la nation la plus favorisée</w:t>
      </w:r>
      <w:r w:rsidRPr="006B08FC">
        <w:rPr>
          <w:rStyle w:val="Marquenotebasdepage"/>
          <w:rFonts w:ascii="Times New Roman" w:hAnsi="Times New Roman" w:cs="Times New Roman"/>
        </w:rPr>
        <w:footnoteReference w:id="110"/>
      </w:r>
      <w:r w:rsidRPr="006B08FC">
        <w:rPr>
          <w:rFonts w:ascii="Times New Roman" w:hAnsi="Times New Roman" w:cs="Times New Roman"/>
        </w:rPr>
        <w:t xml:space="preserve"> et de la préférence donnée aux droits de douane plutôt qu’aux barrières commerciales tirent leur légitimité des règles édictées dans le GATT</w:t>
      </w:r>
      <w:r w:rsidRPr="006B08FC">
        <w:rPr>
          <w:rStyle w:val="Marquenotebasdepage"/>
          <w:rFonts w:ascii="Times New Roman" w:hAnsi="Times New Roman" w:cs="Times New Roman"/>
        </w:rPr>
        <w:footnoteReference w:id="111"/>
      </w:r>
      <w:r w:rsidRPr="006B08FC">
        <w:rPr>
          <w:rFonts w:ascii="Times New Roman" w:hAnsi="Times New Roman" w:cs="Times New Roman"/>
        </w:rPr>
        <w:t>. Dans ce système, il s’agit de règles absolues</w:t>
      </w:r>
      <w:r w:rsidRPr="006B08FC">
        <w:rPr>
          <w:rStyle w:val="Marquenotebasdepage"/>
          <w:rFonts w:ascii="Times New Roman" w:hAnsi="Times New Roman" w:cs="Times New Roman"/>
        </w:rPr>
        <w:footnoteReference w:id="112"/>
      </w:r>
      <w:r w:rsidRPr="006B08FC">
        <w:rPr>
          <w:rFonts w:ascii="Times New Roman" w:hAnsi="Times New Roman" w:cs="Times New Roman"/>
        </w:rPr>
        <w:t>. Il existe également des régimes où des quantités relatives sont fixées notamment dans les restrictions volontaires aux exportations ainsi que dans d’autres accords qui limitent les exportations</w:t>
      </w:r>
      <w:r w:rsidRPr="006B08FC">
        <w:rPr>
          <w:rStyle w:val="Marquenotebasdepage"/>
          <w:rFonts w:ascii="Times New Roman" w:hAnsi="Times New Roman" w:cs="Times New Roman"/>
        </w:rPr>
        <w:footnoteReference w:id="113"/>
      </w:r>
      <w:r w:rsidRPr="006B08FC">
        <w:rPr>
          <w:rFonts w:ascii="Times New Roman" w:hAnsi="Times New Roman" w:cs="Times New Roman"/>
        </w:rPr>
        <w:t>.</w:t>
      </w:r>
    </w:p>
    <w:p w14:paraId="2ADD5A41" w14:textId="77777777" w:rsidR="008E35ED" w:rsidRDefault="008E35ED" w:rsidP="008E35ED">
      <w:pPr>
        <w:spacing w:line="360" w:lineRule="auto"/>
        <w:jc w:val="both"/>
        <w:rPr>
          <w:rFonts w:ascii="Times New Roman" w:hAnsi="Times New Roman" w:cs="Times New Roman"/>
        </w:rPr>
      </w:pPr>
    </w:p>
    <w:p w14:paraId="08DC3826" w14:textId="5F4900AD" w:rsidR="008E35ED" w:rsidRPr="00947BD1" w:rsidRDefault="008E35ED" w:rsidP="008E35ED">
      <w:pPr>
        <w:spacing w:line="360" w:lineRule="auto"/>
        <w:jc w:val="both"/>
        <w:rPr>
          <w:rFonts w:ascii="Times New Roman" w:hAnsi="Times New Roman" w:cs="Times New Roman"/>
        </w:rPr>
      </w:pPr>
      <w:r>
        <w:rPr>
          <w:rFonts w:ascii="Times New Roman" w:hAnsi="Times New Roman" w:cs="Times New Roman"/>
        </w:rPr>
        <w:t>En troisième lieu, il convient de mentionner l</w:t>
      </w:r>
      <w:r w:rsidRPr="00947BD1">
        <w:rPr>
          <w:rFonts w:ascii="Times New Roman" w:hAnsi="Times New Roman" w:cs="Times New Roman"/>
        </w:rPr>
        <w:t>e cont</w:t>
      </w:r>
      <w:r>
        <w:rPr>
          <w:rFonts w:ascii="Times New Roman" w:hAnsi="Times New Roman" w:cs="Times New Roman"/>
        </w:rPr>
        <w:t>ingentement ou le quota qui est</w:t>
      </w:r>
      <w:r w:rsidRPr="00947BD1">
        <w:rPr>
          <w:rFonts w:ascii="Times New Roman" w:hAnsi="Times New Roman" w:cs="Times New Roman"/>
        </w:rPr>
        <w:t xml:space="preserve"> également une restriction quantitative aux échanges</w:t>
      </w:r>
      <w:r w:rsidRPr="00947BD1">
        <w:rPr>
          <w:rStyle w:val="Marquenotebasdepage"/>
          <w:rFonts w:ascii="Times New Roman" w:hAnsi="Times New Roman" w:cs="Times New Roman"/>
        </w:rPr>
        <w:footnoteReference w:id="114"/>
      </w:r>
      <w:r w:rsidRPr="00947BD1">
        <w:rPr>
          <w:rFonts w:ascii="Times New Roman" w:hAnsi="Times New Roman" w:cs="Times New Roman"/>
        </w:rPr>
        <w:t>. Celui-ci correspond à une limitation quantitative des importations</w:t>
      </w:r>
      <w:r w:rsidRPr="00947BD1">
        <w:rPr>
          <w:rStyle w:val="Marquenotebasdepage"/>
          <w:rFonts w:ascii="Times New Roman" w:hAnsi="Times New Roman" w:cs="Times New Roman"/>
        </w:rPr>
        <w:footnoteReference w:id="115"/>
      </w:r>
      <w:r w:rsidRPr="00947BD1">
        <w:rPr>
          <w:rFonts w:ascii="Times New Roman" w:hAnsi="Times New Roman" w:cs="Times New Roman"/>
        </w:rPr>
        <w:t xml:space="preserve"> et est interdit par l’article XI du GATT</w:t>
      </w:r>
      <w:r w:rsidRPr="00947BD1">
        <w:rPr>
          <w:rStyle w:val="Marquenotebasdepage"/>
          <w:rFonts w:ascii="Times New Roman" w:hAnsi="Times New Roman" w:cs="Times New Roman"/>
        </w:rPr>
        <w:footnoteReference w:id="116"/>
      </w:r>
      <w:r w:rsidRPr="00947BD1">
        <w:rPr>
          <w:rFonts w:ascii="Times New Roman" w:hAnsi="Times New Roman" w:cs="Times New Roman"/>
        </w:rPr>
        <w:t>. Il peut être défini en quantités absolues, mais également en quantités relatives</w:t>
      </w:r>
      <w:r w:rsidRPr="00947BD1">
        <w:rPr>
          <w:rStyle w:val="Marquenotebasdepage"/>
          <w:rFonts w:ascii="Times New Roman" w:hAnsi="Times New Roman" w:cs="Times New Roman"/>
        </w:rPr>
        <w:footnoteReference w:id="117"/>
      </w:r>
      <w:r w:rsidRPr="00947BD1">
        <w:rPr>
          <w:rFonts w:ascii="Times New Roman" w:hAnsi="Times New Roman" w:cs="Times New Roman"/>
        </w:rPr>
        <w:t>. Les restrictions quantitatives aux échanges sont de moins en moins utilisées étant donné qu’elles ne sont désormais possibles que dans des situations de crise sectorielle. Les barrières non tarifaires autres que les quotas restent souvent utilisé</w:t>
      </w:r>
      <w:r w:rsidR="00FE2912">
        <w:rPr>
          <w:rFonts w:ascii="Times New Roman" w:hAnsi="Times New Roman" w:cs="Times New Roman"/>
        </w:rPr>
        <w:t>e</w:t>
      </w:r>
      <w:r w:rsidRPr="00947BD1">
        <w:rPr>
          <w:rFonts w:ascii="Times New Roman" w:hAnsi="Times New Roman" w:cs="Times New Roman"/>
        </w:rPr>
        <w:t>s comme instrument à des fins protectionnistes</w:t>
      </w:r>
      <w:r w:rsidRPr="00947BD1">
        <w:rPr>
          <w:rStyle w:val="Marquenotebasdepage"/>
          <w:rFonts w:ascii="Times New Roman" w:hAnsi="Times New Roman" w:cs="Times New Roman"/>
        </w:rPr>
        <w:footnoteReference w:id="118"/>
      </w:r>
      <w:r w:rsidRPr="00947BD1">
        <w:rPr>
          <w:rFonts w:ascii="Times New Roman" w:hAnsi="Times New Roman" w:cs="Times New Roman"/>
        </w:rPr>
        <w:t xml:space="preserve">. </w:t>
      </w:r>
    </w:p>
    <w:p w14:paraId="7D075035" w14:textId="77777777" w:rsidR="008E35ED" w:rsidRDefault="008E35ED" w:rsidP="008E35ED"/>
    <w:p w14:paraId="1C9CEC07" w14:textId="77777777" w:rsidR="008E35ED" w:rsidRPr="00570190" w:rsidRDefault="008E35ED" w:rsidP="008E35ED">
      <w:pPr>
        <w:spacing w:line="360" w:lineRule="auto"/>
        <w:jc w:val="both"/>
        <w:rPr>
          <w:rFonts w:ascii="Times New Roman" w:hAnsi="Times New Roman" w:cs="Times New Roman"/>
          <w:bCs/>
          <w:smallCaps/>
          <w:u w:val="single"/>
        </w:rPr>
      </w:pPr>
      <w:r w:rsidRPr="00570190">
        <w:rPr>
          <w:rFonts w:ascii="Times New Roman" w:hAnsi="Times New Roman" w:cs="Times New Roman"/>
          <w:bCs/>
          <w:smallCaps/>
          <w:u w:val="single"/>
        </w:rPr>
        <w:t>Section 3. Les effets du protectionnisme</w:t>
      </w:r>
    </w:p>
    <w:p w14:paraId="4B179C3D" w14:textId="0EABC591" w:rsidR="008E35ED" w:rsidRPr="00570190" w:rsidRDefault="008E35ED" w:rsidP="008E35ED">
      <w:pPr>
        <w:spacing w:line="360" w:lineRule="auto"/>
        <w:jc w:val="both"/>
        <w:rPr>
          <w:rFonts w:ascii="Times New Roman" w:hAnsi="Times New Roman" w:cs="Times New Roman"/>
        </w:rPr>
      </w:pPr>
      <w:r w:rsidRPr="00570190">
        <w:rPr>
          <w:rFonts w:ascii="Times New Roman" w:hAnsi="Times New Roman" w:cs="Times New Roman"/>
        </w:rPr>
        <w:t>L’instauration d’un droit de douane sur l’économie nationale a un véritable impact. En effet, les tarifs douaniers affectent non seulement les producteurs, qui peuvent vendre les produits à un prix plus élevé</w:t>
      </w:r>
      <w:r w:rsidR="00FE2912" w:rsidRPr="00570190">
        <w:rPr>
          <w:rFonts w:ascii="Times New Roman" w:hAnsi="Times New Roman" w:cs="Times New Roman"/>
        </w:rPr>
        <w:t>,</w:t>
      </w:r>
      <w:r w:rsidRPr="00570190">
        <w:rPr>
          <w:rFonts w:ascii="Times New Roman" w:hAnsi="Times New Roman" w:cs="Times New Roman"/>
        </w:rPr>
        <w:t xml:space="preserve"> mais également les consommateurs qui voient leur situation se détériorer</w:t>
      </w:r>
      <w:r w:rsidRPr="00570190">
        <w:rPr>
          <w:rStyle w:val="Marquenotebasdepage"/>
          <w:rFonts w:ascii="Times New Roman" w:hAnsi="Times New Roman" w:cs="Times New Roman"/>
        </w:rPr>
        <w:footnoteReference w:id="119"/>
      </w:r>
      <w:r w:rsidRPr="00570190">
        <w:rPr>
          <w:rFonts w:ascii="Times New Roman" w:hAnsi="Times New Roman" w:cs="Times New Roman"/>
        </w:rPr>
        <w:t>. L’impact global est évalué en termes de bien-être national. L’instauration du droit de douane a pour conséquence une augmentation du prix du bien, le surplus des consommateurs diminue tandis que celui des producteurs s’accroit.  L’impact global d’un tarif douanier sur l’économie nationale est qualifié de perte nette de bien-être</w:t>
      </w:r>
      <w:r w:rsidRPr="00570190">
        <w:rPr>
          <w:rStyle w:val="Marquenotebasdepage"/>
          <w:rFonts w:ascii="Times New Roman" w:hAnsi="Times New Roman" w:cs="Times New Roman"/>
        </w:rPr>
        <w:footnoteReference w:id="120"/>
      </w:r>
      <w:r w:rsidRPr="00570190">
        <w:rPr>
          <w:rFonts w:ascii="Times New Roman" w:hAnsi="Times New Roman" w:cs="Times New Roman"/>
        </w:rPr>
        <w:t xml:space="preserve">. </w:t>
      </w:r>
    </w:p>
    <w:p w14:paraId="63D1A5E0" w14:textId="77777777" w:rsidR="008E35ED" w:rsidRPr="00570190" w:rsidRDefault="008E35ED" w:rsidP="008E35ED">
      <w:pPr>
        <w:spacing w:line="360" w:lineRule="auto"/>
        <w:jc w:val="both"/>
        <w:rPr>
          <w:rFonts w:ascii="Times New Roman" w:hAnsi="Times New Roman" w:cs="Times New Roman"/>
        </w:rPr>
      </w:pPr>
    </w:p>
    <w:p w14:paraId="7CD57AC8" w14:textId="71548210" w:rsidR="008E35ED" w:rsidRPr="00570190" w:rsidRDefault="008E35ED" w:rsidP="008E35ED">
      <w:pPr>
        <w:spacing w:line="360" w:lineRule="auto"/>
        <w:jc w:val="both"/>
        <w:rPr>
          <w:rFonts w:ascii="Times New Roman" w:hAnsi="Times New Roman" w:cs="Times New Roman"/>
        </w:rPr>
      </w:pPr>
      <w:r w:rsidRPr="00570190">
        <w:rPr>
          <w:rFonts w:ascii="Times New Roman" w:hAnsi="Times New Roman" w:cs="Times New Roman"/>
        </w:rPr>
        <w:t>Il existe deux hypothèses dans lesquelles le protectionnisme est souhaitable. D’une part, lorsque le pays protectionniste est un grand pays et, d’autre part, lorsque la production du bien est à l’origine d’externalités positives</w:t>
      </w:r>
      <w:r w:rsidRPr="00570190">
        <w:rPr>
          <w:rStyle w:val="Marquenotebasdepage"/>
          <w:rFonts w:ascii="Times New Roman" w:hAnsi="Times New Roman" w:cs="Times New Roman"/>
        </w:rPr>
        <w:footnoteReference w:id="121"/>
      </w:r>
      <w:r w:rsidRPr="00570190">
        <w:rPr>
          <w:rFonts w:ascii="Times New Roman" w:hAnsi="Times New Roman" w:cs="Times New Roman"/>
        </w:rPr>
        <w:t xml:space="preserve">. </w:t>
      </w:r>
      <w:r w:rsidR="005946F0" w:rsidRPr="00570190">
        <w:rPr>
          <w:rFonts w:ascii="Times New Roman" w:hAnsi="Times New Roman" w:cs="Times New Roman"/>
        </w:rPr>
        <w:t>I</w:t>
      </w:r>
      <w:r w:rsidRPr="00570190">
        <w:rPr>
          <w:rFonts w:ascii="Times New Roman" w:hAnsi="Times New Roman" w:cs="Times New Roman"/>
        </w:rPr>
        <w:t>l convient de comprendre par la notion de « grand pays » une nation dont la taille est suffisante pour qu’une modification des quantités achetées sur le marché mondial ait un impact sur le prix du bien échangé. Lorsqu’une grande nation instaure un tarif douanier, il convient de constater une diminution des quantités achetées à l’étranger qui auront pour conséquence de faire diminuer le prix mondial</w:t>
      </w:r>
      <w:r w:rsidRPr="00570190">
        <w:rPr>
          <w:rStyle w:val="Marquenotebasdepage"/>
          <w:rFonts w:ascii="Times New Roman" w:hAnsi="Times New Roman" w:cs="Times New Roman"/>
        </w:rPr>
        <w:footnoteReference w:id="122"/>
      </w:r>
      <w:r w:rsidRPr="00570190">
        <w:rPr>
          <w:rFonts w:ascii="Times New Roman" w:hAnsi="Times New Roman" w:cs="Times New Roman"/>
        </w:rPr>
        <w:t xml:space="preserve">. </w:t>
      </w:r>
    </w:p>
    <w:p w14:paraId="24D446E4" w14:textId="77777777" w:rsidR="008E35ED" w:rsidRPr="00570190" w:rsidRDefault="008E35ED" w:rsidP="008E35ED">
      <w:pPr>
        <w:spacing w:line="360" w:lineRule="auto"/>
        <w:jc w:val="both"/>
        <w:rPr>
          <w:rFonts w:ascii="Times New Roman" w:hAnsi="Times New Roman" w:cs="Times New Roman"/>
        </w:rPr>
      </w:pPr>
    </w:p>
    <w:p w14:paraId="7EB05298" w14:textId="77777777" w:rsidR="008E35ED" w:rsidRDefault="008E35ED" w:rsidP="008E35ED">
      <w:pPr>
        <w:spacing w:line="360" w:lineRule="auto"/>
        <w:jc w:val="both"/>
        <w:rPr>
          <w:rFonts w:ascii="Times New Roman" w:hAnsi="Times New Roman" w:cs="Times New Roman"/>
        </w:rPr>
      </w:pPr>
      <w:r w:rsidRPr="00570190">
        <w:rPr>
          <w:rFonts w:ascii="Times New Roman" w:hAnsi="Times New Roman" w:cs="Times New Roman"/>
        </w:rPr>
        <w:t>Des externalités positives peuvent également accompagner la production d’un bien. La protection du secteur par un droit de douane permet de produire une plus grande quantité de biens. Il convient toutefois de souligner la difficulté d’identifier les secteurs qui sont à l’origine de ces externalités positives</w:t>
      </w:r>
      <w:r w:rsidRPr="00570190">
        <w:rPr>
          <w:rStyle w:val="Marquenotebasdepage"/>
          <w:rFonts w:ascii="Times New Roman" w:hAnsi="Times New Roman" w:cs="Times New Roman"/>
        </w:rPr>
        <w:footnoteReference w:id="123"/>
      </w:r>
      <w:r w:rsidRPr="00570190">
        <w:rPr>
          <w:rFonts w:ascii="Times New Roman" w:hAnsi="Times New Roman" w:cs="Times New Roman"/>
        </w:rPr>
        <w:t>.</w:t>
      </w:r>
    </w:p>
    <w:p w14:paraId="46357ED9" w14:textId="77777777" w:rsidR="00127E1B" w:rsidRDefault="00127E1B" w:rsidP="00127E1B">
      <w:pPr>
        <w:spacing w:line="360" w:lineRule="auto"/>
        <w:jc w:val="both"/>
        <w:rPr>
          <w:rFonts w:ascii="Times New Roman" w:hAnsi="Times New Roman" w:cs="Times New Roman"/>
          <w:u w:val="single"/>
        </w:rPr>
      </w:pPr>
    </w:p>
    <w:p w14:paraId="0D50202E" w14:textId="10772A09" w:rsidR="00127E1B" w:rsidRPr="00EE34CB" w:rsidRDefault="00127E1B" w:rsidP="00127E1B">
      <w:pPr>
        <w:spacing w:line="360" w:lineRule="auto"/>
        <w:jc w:val="both"/>
        <w:rPr>
          <w:rFonts w:ascii="Times New Roman" w:hAnsi="Times New Roman" w:cs="Times New Roman"/>
          <w:b/>
          <w:bCs/>
          <w:smallCaps/>
        </w:rPr>
      </w:pPr>
      <w:r w:rsidRPr="00EE34CB">
        <w:rPr>
          <w:rFonts w:ascii="Times New Roman" w:hAnsi="Times New Roman" w:cs="Times New Roman"/>
          <w:b/>
          <w:bCs/>
          <w:smallCaps/>
        </w:rPr>
        <w:t xml:space="preserve">Chapitre V : </w:t>
      </w:r>
      <w:r w:rsidR="001D2870" w:rsidRPr="00EE34CB">
        <w:rPr>
          <w:rFonts w:ascii="Times New Roman" w:hAnsi="Times New Roman" w:cs="Times New Roman"/>
          <w:b/>
          <w:bCs/>
          <w:smallCaps/>
        </w:rPr>
        <w:t>Commerce et environnement dans la jurisprudence du GATT et de l’OMC</w:t>
      </w:r>
    </w:p>
    <w:p w14:paraId="55EF33EA" w14:textId="335177A8" w:rsidR="00127E1B" w:rsidRPr="00EE34CB" w:rsidRDefault="00B06B01" w:rsidP="00127E1B">
      <w:pPr>
        <w:spacing w:line="360" w:lineRule="auto"/>
        <w:jc w:val="both"/>
        <w:rPr>
          <w:rFonts w:ascii="Times New Roman" w:hAnsi="Times New Roman" w:cs="Times New Roman"/>
          <w:smallCaps/>
          <w:u w:val="single"/>
        </w:rPr>
      </w:pPr>
      <w:r>
        <w:rPr>
          <w:rFonts w:ascii="Times New Roman" w:hAnsi="Times New Roman" w:cs="Times New Roman"/>
          <w:smallCaps/>
          <w:u w:val="single"/>
        </w:rPr>
        <w:t>Section 1</w:t>
      </w:r>
      <w:r w:rsidR="00127E1B" w:rsidRPr="00EE34CB">
        <w:rPr>
          <w:rFonts w:ascii="Times New Roman" w:hAnsi="Times New Roman" w:cs="Times New Roman"/>
          <w:smallCaps/>
          <w:u w:val="single"/>
        </w:rPr>
        <w:t> : La mondialisation des échanges et la souveraineté des Etats</w:t>
      </w:r>
    </w:p>
    <w:p w14:paraId="54A7827B" w14:textId="0F9DC674" w:rsidR="00127E1B" w:rsidRPr="00947BD1" w:rsidRDefault="00127E1B" w:rsidP="00127E1B">
      <w:pPr>
        <w:spacing w:line="360" w:lineRule="auto"/>
        <w:jc w:val="both"/>
        <w:rPr>
          <w:rFonts w:ascii="Times New Roman" w:hAnsi="Times New Roman" w:cs="Times New Roman"/>
        </w:rPr>
      </w:pPr>
      <w:r w:rsidRPr="00947BD1">
        <w:rPr>
          <w:rFonts w:ascii="Times New Roman" w:hAnsi="Times New Roman" w:cs="Times New Roman"/>
        </w:rPr>
        <w:t>Il convient de remarquer que la mondialisation est un terme journalistique qui ne connait pas de définition juridique</w:t>
      </w:r>
      <w:r w:rsidRPr="00DC0837">
        <w:rPr>
          <w:rStyle w:val="Marquenotebasdepage"/>
          <w:rFonts w:ascii="Times New Roman" w:hAnsi="Times New Roman" w:cs="Times New Roman"/>
        </w:rPr>
        <w:footnoteReference w:id="124"/>
      </w:r>
      <w:r w:rsidR="007A7E60" w:rsidRPr="00DC0837">
        <w:rPr>
          <w:rFonts w:ascii="Times New Roman" w:hAnsi="Times New Roman" w:cs="Times New Roman"/>
        </w:rPr>
        <w:t>.</w:t>
      </w:r>
      <w:r w:rsidRPr="00DC0837">
        <w:rPr>
          <w:rFonts w:ascii="Times New Roman" w:hAnsi="Times New Roman" w:cs="Times New Roman"/>
        </w:rPr>
        <w:t xml:space="preserve"> La</w:t>
      </w:r>
      <w:r w:rsidRPr="00947BD1">
        <w:rPr>
          <w:rFonts w:ascii="Times New Roman" w:hAnsi="Times New Roman" w:cs="Times New Roman"/>
        </w:rPr>
        <w:t xml:space="preserve"> meilleure manière d’appréhender cette notion réside donc dans l’</w:t>
      </w:r>
      <w:r>
        <w:rPr>
          <w:rFonts w:ascii="Times New Roman" w:hAnsi="Times New Roman" w:cs="Times New Roman"/>
        </w:rPr>
        <w:t xml:space="preserve">analyse de ses effets. Ainsi, son </w:t>
      </w:r>
      <w:r w:rsidRPr="00947BD1">
        <w:rPr>
          <w:rFonts w:ascii="Times New Roman" w:hAnsi="Times New Roman" w:cs="Times New Roman"/>
        </w:rPr>
        <w:t>effet le plus immédiat dans la globalisation des échanges concerne la souveraineté économique des Etats</w:t>
      </w:r>
      <w:r w:rsidRPr="00947BD1">
        <w:rPr>
          <w:rStyle w:val="Marquenotebasdepage"/>
          <w:rFonts w:ascii="Times New Roman" w:hAnsi="Times New Roman" w:cs="Times New Roman"/>
        </w:rPr>
        <w:footnoteReference w:id="125"/>
      </w:r>
      <w:r w:rsidRPr="00947BD1">
        <w:rPr>
          <w:rFonts w:ascii="Times New Roman" w:hAnsi="Times New Roman" w:cs="Times New Roman"/>
        </w:rPr>
        <w:t>.</w:t>
      </w:r>
    </w:p>
    <w:p w14:paraId="394586CB" w14:textId="77777777" w:rsidR="00127E1B" w:rsidRPr="00947BD1" w:rsidRDefault="00127E1B" w:rsidP="00127E1B">
      <w:pPr>
        <w:spacing w:line="360" w:lineRule="auto"/>
        <w:jc w:val="both"/>
        <w:rPr>
          <w:rFonts w:ascii="Times New Roman" w:hAnsi="Times New Roman" w:cs="Times New Roman"/>
        </w:rPr>
      </w:pPr>
    </w:p>
    <w:p w14:paraId="3B50F8FB" w14:textId="2D13978C" w:rsidR="00127E1B" w:rsidRPr="00947BD1" w:rsidRDefault="00127E1B" w:rsidP="00127E1B">
      <w:pPr>
        <w:spacing w:line="360" w:lineRule="auto"/>
        <w:jc w:val="both"/>
        <w:rPr>
          <w:rFonts w:ascii="Times New Roman" w:hAnsi="Times New Roman" w:cs="Times New Roman"/>
        </w:rPr>
      </w:pPr>
      <w:r w:rsidRPr="00947BD1">
        <w:rPr>
          <w:rFonts w:ascii="Times New Roman" w:hAnsi="Times New Roman" w:cs="Times New Roman"/>
        </w:rPr>
        <w:t>Il faut mentionner que le directeur de cabinet du Secrétariat géné</w:t>
      </w:r>
      <w:r w:rsidR="007A29B5">
        <w:rPr>
          <w:rFonts w:ascii="Times New Roman" w:hAnsi="Times New Roman" w:cs="Times New Roman"/>
        </w:rPr>
        <w:t>ral de la CNUCED énonç</w:t>
      </w:r>
      <w:r>
        <w:rPr>
          <w:rFonts w:ascii="Times New Roman" w:hAnsi="Times New Roman" w:cs="Times New Roman"/>
        </w:rPr>
        <w:t>ait ce qui suit :</w:t>
      </w:r>
      <w:r w:rsidRPr="00947BD1">
        <w:rPr>
          <w:rFonts w:ascii="Times New Roman" w:hAnsi="Times New Roman" w:cs="Times New Roman"/>
        </w:rPr>
        <w:t xml:space="preserve"> « durant la décennie qui vient de s’écouler (…), l’Etat s’est rapidement désengagé du domaine économique »</w:t>
      </w:r>
      <w:r w:rsidRPr="00947BD1">
        <w:rPr>
          <w:rStyle w:val="Marquenotebasdepage"/>
          <w:rFonts w:ascii="Times New Roman" w:hAnsi="Times New Roman" w:cs="Times New Roman"/>
        </w:rPr>
        <w:footnoteReference w:id="126"/>
      </w:r>
      <w:r w:rsidRPr="00947BD1">
        <w:rPr>
          <w:rFonts w:ascii="Times New Roman" w:hAnsi="Times New Roman" w:cs="Times New Roman"/>
        </w:rPr>
        <w:t>. Dan</w:t>
      </w:r>
      <w:r>
        <w:rPr>
          <w:rFonts w:ascii="Times New Roman" w:hAnsi="Times New Roman" w:cs="Times New Roman"/>
        </w:rPr>
        <w:t xml:space="preserve">s l’affaire </w:t>
      </w:r>
      <w:r w:rsidRPr="00585794">
        <w:rPr>
          <w:rFonts w:ascii="Times New Roman" w:hAnsi="Times New Roman" w:cs="Times New Roman"/>
          <w:i/>
        </w:rPr>
        <w:t>Barcelona Traction</w:t>
      </w:r>
      <w:r>
        <w:rPr>
          <w:rStyle w:val="Marquenotebasdepage"/>
          <w:rFonts w:ascii="Times New Roman" w:hAnsi="Times New Roman" w:cs="Times New Roman"/>
        </w:rPr>
        <w:footnoteReference w:id="127"/>
      </w:r>
      <w:r>
        <w:rPr>
          <w:rFonts w:ascii="Times New Roman" w:hAnsi="Times New Roman" w:cs="Times New Roman"/>
        </w:rPr>
        <w:t xml:space="preserve"> </w:t>
      </w:r>
      <w:r w:rsidRPr="00947BD1">
        <w:rPr>
          <w:rFonts w:ascii="Times New Roman" w:hAnsi="Times New Roman" w:cs="Times New Roman"/>
        </w:rPr>
        <w:t xml:space="preserve">de 1970, la </w:t>
      </w:r>
      <w:r w:rsidRPr="00D53376">
        <w:rPr>
          <w:rFonts w:ascii="Times New Roman" w:hAnsi="Times New Roman" w:cs="Times New Roman"/>
        </w:rPr>
        <w:t>Cour i</w:t>
      </w:r>
      <w:r w:rsidR="00FE2912" w:rsidRPr="00D53376">
        <w:rPr>
          <w:rFonts w:ascii="Times New Roman" w:hAnsi="Times New Roman" w:cs="Times New Roman"/>
        </w:rPr>
        <w:t>nternationale de J</w:t>
      </w:r>
      <w:r w:rsidRPr="00D53376">
        <w:rPr>
          <w:rFonts w:ascii="Times New Roman" w:hAnsi="Times New Roman" w:cs="Times New Roman"/>
        </w:rPr>
        <w:t>ustice avait constaté une lente évolution du monde de l’économie</w:t>
      </w:r>
      <w:r>
        <w:rPr>
          <w:rFonts w:ascii="Times New Roman" w:hAnsi="Times New Roman" w:cs="Times New Roman"/>
        </w:rPr>
        <w:t xml:space="preserve"> qui tendait à modifier la vie des sociétés</w:t>
      </w:r>
      <w:r w:rsidR="00D53376">
        <w:rPr>
          <w:rStyle w:val="Marquenotebasdepage"/>
          <w:rFonts w:ascii="Times New Roman" w:hAnsi="Times New Roman" w:cs="Times New Roman"/>
        </w:rPr>
        <w:footnoteReference w:id="128"/>
      </w:r>
      <w:r>
        <w:rPr>
          <w:rFonts w:ascii="Times New Roman" w:hAnsi="Times New Roman" w:cs="Times New Roman"/>
        </w:rPr>
        <w:t xml:space="preserve">. Cet </w:t>
      </w:r>
      <w:r w:rsidRPr="007A29B5">
        <w:rPr>
          <w:rFonts w:ascii="Times New Roman" w:hAnsi="Times New Roman" w:cs="Times New Roman"/>
          <w:i/>
        </w:rPr>
        <w:t>obiter</w:t>
      </w:r>
      <w:r w:rsidRPr="007A29B5">
        <w:rPr>
          <w:rFonts w:ascii="Times New Roman" w:hAnsi="Times New Roman" w:cs="Times New Roman"/>
        </w:rPr>
        <w:t xml:space="preserve"> de</w:t>
      </w:r>
      <w:r w:rsidRPr="00947BD1">
        <w:rPr>
          <w:rFonts w:ascii="Times New Roman" w:hAnsi="Times New Roman" w:cs="Times New Roman"/>
        </w:rPr>
        <w:t xml:space="preserve"> la Cour démontrait une véritable prise de conscience du recul de l’Etat souverain au profit d’acteurs privés au sein du marché mondial</w:t>
      </w:r>
      <w:r w:rsidRPr="00947BD1">
        <w:rPr>
          <w:rStyle w:val="Marquenotebasdepage"/>
          <w:rFonts w:ascii="Times New Roman" w:hAnsi="Times New Roman" w:cs="Times New Roman"/>
        </w:rPr>
        <w:footnoteReference w:id="129"/>
      </w:r>
      <w:r w:rsidRPr="00947BD1">
        <w:rPr>
          <w:rFonts w:ascii="Times New Roman" w:hAnsi="Times New Roman" w:cs="Times New Roman"/>
        </w:rPr>
        <w:t>.</w:t>
      </w:r>
      <w:r>
        <w:rPr>
          <w:rFonts w:ascii="Times New Roman" w:hAnsi="Times New Roman" w:cs="Times New Roman"/>
        </w:rPr>
        <w:t xml:space="preserve"> I</w:t>
      </w:r>
      <w:r w:rsidRPr="00947BD1">
        <w:rPr>
          <w:rFonts w:ascii="Times New Roman" w:hAnsi="Times New Roman" w:cs="Times New Roman"/>
        </w:rPr>
        <w:t xml:space="preserve">l ne faut </w:t>
      </w:r>
      <w:r>
        <w:rPr>
          <w:rFonts w:ascii="Times New Roman" w:hAnsi="Times New Roman" w:cs="Times New Roman"/>
        </w:rPr>
        <w:t xml:space="preserve">toutefois pas s’y méprendre, le fait que le marché conteste </w:t>
      </w:r>
      <w:r w:rsidRPr="00947BD1">
        <w:rPr>
          <w:rFonts w:ascii="Times New Roman" w:hAnsi="Times New Roman" w:cs="Times New Roman"/>
        </w:rPr>
        <w:t xml:space="preserve">la position dominante de l’Etat n’aboutit </w:t>
      </w:r>
      <w:r w:rsidR="00E1798B">
        <w:rPr>
          <w:rFonts w:ascii="Times New Roman" w:hAnsi="Times New Roman" w:cs="Times New Roman"/>
        </w:rPr>
        <w:t xml:space="preserve">cependant </w:t>
      </w:r>
      <w:r w:rsidRPr="00947BD1">
        <w:rPr>
          <w:rFonts w:ascii="Times New Roman" w:hAnsi="Times New Roman" w:cs="Times New Roman"/>
        </w:rPr>
        <w:t>pas à un monde sans souveraineté</w:t>
      </w:r>
      <w:r w:rsidRPr="00947BD1">
        <w:rPr>
          <w:rStyle w:val="Marquenotebasdepage"/>
          <w:rFonts w:ascii="Times New Roman" w:hAnsi="Times New Roman" w:cs="Times New Roman"/>
        </w:rPr>
        <w:footnoteReference w:id="130"/>
      </w:r>
      <w:r w:rsidRPr="00947BD1">
        <w:rPr>
          <w:rFonts w:ascii="Times New Roman" w:hAnsi="Times New Roman" w:cs="Times New Roman"/>
        </w:rPr>
        <w:t xml:space="preserve">. En </w:t>
      </w:r>
      <w:r>
        <w:rPr>
          <w:rFonts w:ascii="Times New Roman" w:hAnsi="Times New Roman" w:cs="Times New Roman"/>
        </w:rPr>
        <w:t xml:space="preserve">effet, il convient de dépasser </w:t>
      </w:r>
      <w:r w:rsidRPr="00947BD1">
        <w:rPr>
          <w:rFonts w:ascii="Times New Roman" w:hAnsi="Times New Roman" w:cs="Times New Roman"/>
        </w:rPr>
        <w:t>« </w:t>
      </w:r>
      <w:r>
        <w:rPr>
          <w:rFonts w:ascii="Times New Roman" w:hAnsi="Times New Roman" w:cs="Times New Roman"/>
        </w:rPr>
        <w:t>le mythe de l’Etat impuissant »</w:t>
      </w:r>
      <w:r w:rsidRPr="00947BD1">
        <w:rPr>
          <w:rFonts w:ascii="Times New Roman" w:hAnsi="Times New Roman" w:cs="Times New Roman"/>
        </w:rPr>
        <w:t xml:space="preserve"> en repensant le rôle de l’Etat</w:t>
      </w:r>
      <w:r>
        <w:rPr>
          <w:rStyle w:val="Marquenotebasdepage"/>
          <w:rFonts w:ascii="Times New Roman" w:hAnsi="Times New Roman" w:cs="Times New Roman"/>
        </w:rPr>
        <w:footnoteReference w:id="131"/>
      </w:r>
      <w:r w:rsidRPr="00947BD1">
        <w:rPr>
          <w:rFonts w:ascii="Times New Roman" w:hAnsi="Times New Roman" w:cs="Times New Roman"/>
        </w:rPr>
        <w:t xml:space="preserve">. Pour ce faire, il faut tout d’abord percevoir l’Etat comme </w:t>
      </w:r>
      <w:r w:rsidRPr="005C2464">
        <w:rPr>
          <w:rFonts w:ascii="Times New Roman" w:hAnsi="Times New Roman" w:cs="Times New Roman"/>
          <w:i/>
        </w:rPr>
        <w:t>« celui qui, historiquement, a été voulu comme le dépositaire de l’intérêt général, comme cette invention des hommes (…) pour ne pas obéir aux hommes »</w:t>
      </w:r>
      <w:r w:rsidRPr="00947BD1">
        <w:rPr>
          <w:rStyle w:val="Marquenotebasdepage"/>
          <w:rFonts w:ascii="Times New Roman" w:hAnsi="Times New Roman" w:cs="Times New Roman"/>
        </w:rPr>
        <w:footnoteReference w:id="132"/>
      </w:r>
      <w:r w:rsidRPr="00947BD1">
        <w:rPr>
          <w:rFonts w:ascii="Times New Roman" w:hAnsi="Times New Roman" w:cs="Times New Roman"/>
        </w:rPr>
        <w:t>. Alors que le marché n’est pas en mesure d’apporter des réponses satisfaisantes à des besoins qui ne le con</w:t>
      </w:r>
      <w:r>
        <w:rPr>
          <w:rFonts w:ascii="Times New Roman" w:hAnsi="Times New Roman" w:cs="Times New Roman"/>
        </w:rPr>
        <w:t xml:space="preserve">cernent pas de manière proche, il convient </w:t>
      </w:r>
      <w:r w:rsidRPr="00947BD1">
        <w:rPr>
          <w:rFonts w:ascii="Times New Roman" w:hAnsi="Times New Roman" w:cs="Times New Roman"/>
        </w:rPr>
        <w:t>d’avoir égard à la main invisible explicitée précédemment. En effet, un auteur mentionne qu’ </w:t>
      </w:r>
      <w:r w:rsidRPr="005C2464">
        <w:rPr>
          <w:rFonts w:ascii="Times New Roman" w:hAnsi="Times New Roman" w:cs="Times New Roman"/>
          <w:i/>
        </w:rPr>
        <w:t>« il faut à l’homme ses deux mains : la main « invisible » du marché et la main visible de l’Etat »</w:t>
      </w:r>
      <w:r w:rsidRPr="00947BD1">
        <w:rPr>
          <w:rStyle w:val="Marquenotebasdepage"/>
          <w:rFonts w:ascii="Times New Roman" w:hAnsi="Times New Roman" w:cs="Times New Roman"/>
        </w:rPr>
        <w:footnoteReference w:id="133"/>
      </w:r>
      <w:r w:rsidR="00E1798B">
        <w:rPr>
          <w:rFonts w:ascii="Times New Roman" w:hAnsi="Times New Roman" w:cs="Times New Roman"/>
        </w:rPr>
        <w:t xml:space="preserve">. </w:t>
      </w:r>
      <w:r w:rsidRPr="00947BD1">
        <w:rPr>
          <w:rFonts w:ascii="Times New Roman" w:hAnsi="Times New Roman" w:cs="Times New Roman"/>
        </w:rPr>
        <w:t xml:space="preserve">Le besoin d’une intervention de l’Etat comme régulateur de la mondialisation apparaît </w:t>
      </w:r>
      <w:r>
        <w:rPr>
          <w:rFonts w:ascii="Times New Roman" w:hAnsi="Times New Roman" w:cs="Times New Roman"/>
        </w:rPr>
        <w:t xml:space="preserve">ainsi </w:t>
      </w:r>
      <w:r w:rsidRPr="00947BD1">
        <w:rPr>
          <w:rFonts w:ascii="Times New Roman" w:hAnsi="Times New Roman" w:cs="Times New Roman"/>
        </w:rPr>
        <w:t>extrêmement importante dans le domaine de la protection de l’environnement</w:t>
      </w:r>
      <w:r w:rsidRPr="00947BD1">
        <w:rPr>
          <w:rStyle w:val="Marquenotebasdepage"/>
          <w:rFonts w:ascii="Times New Roman" w:hAnsi="Times New Roman" w:cs="Times New Roman"/>
        </w:rPr>
        <w:footnoteReference w:id="134"/>
      </w:r>
      <w:r w:rsidRPr="00947BD1">
        <w:rPr>
          <w:rFonts w:ascii="Times New Roman" w:hAnsi="Times New Roman" w:cs="Times New Roman"/>
        </w:rPr>
        <w:t>.</w:t>
      </w:r>
    </w:p>
    <w:p w14:paraId="2C6C89DB" w14:textId="77777777" w:rsidR="00127E1B" w:rsidRPr="00947BD1" w:rsidRDefault="00127E1B" w:rsidP="00127E1B">
      <w:pPr>
        <w:spacing w:line="360" w:lineRule="auto"/>
        <w:jc w:val="both"/>
        <w:rPr>
          <w:rFonts w:ascii="Times New Roman" w:hAnsi="Times New Roman" w:cs="Times New Roman"/>
        </w:rPr>
      </w:pPr>
    </w:p>
    <w:p w14:paraId="5AF153C6" w14:textId="77777777" w:rsidR="00127E1B" w:rsidRPr="00EE34CB" w:rsidRDefault="00127E1B" w:rsidP="00127E1B">
      <w:pPr>
        <w:spacing w:line="360" w:lineRule="auto"/>
        <w:jc w:val="both"/>
        <w:rPr>
          <w:rFonts w:ascii="Times New Roman" w:hAnsi="Times New Roman" w:cs="Times New Roman"/>
          <w:smallCaps/>
          <w:u w:val="single"/>
        </w:rPr>
      </w:pPr>
      <w:r w:rsidRPr="00EE34CB">
        <w:rPr>
          <w:rFonts w:ascii="Times New Roman" w:hAnsi="Times New Roman" w:cs="Times New Roman"/>
          <w:smallCaps/>
          <w:u w:val="single"/>
        </w:rPr>
        <w:t>Section II : La mondialisation des échanges, la souveraineté des Etats et la protection de l’environnement</w:t>
      </w:r>
    </w:p>
    <w:p w14:paraId="7727BC20" w14:textId="77777777" w:rsidR="00127E1B" w:rsidRDefault="00127E1B" w:rsidP="00127E1B">
      <w:pPr>
        <w:spacing w:line="360" w:lineRule="auto"/>
        <w:jc w:val="both"/>
        <w:rPr>
          <w:rFonts w:ascii="Times New Roman" w:hAnsi="Times New Roman" w:cs="Times New Roman"/>
        </w:rPr>
      </w:pPr>
      <w:r w:rsidRPr="00947BD1">
        <w:rPr>
          <w:rFonts w:ascii="Times New Roman" w:hAnsi="Times New Roman" w:cs="Times New Roman"/>
        </w:rPr>
        <w:t xml:space="preserve">La question de la relation des hommes à leur environnement posée par leur activité de production est très ancienne. </w:t>
      </w:r>
      <w:r>
        <w:rPr>
          <w:rFonts w:ascii="Times New Roman" w:hAnsi="Times New Roman" w:cs="Times New Roman"/>
        </w:rPr>
        <w:t>C</w:t>
      </w:r>
      <w:r w:rsidRPr="00947BD1">
        <w:rPr>
          <w:rFonts w:ascii="Times New Roman" w:hAnsi="Times New Roman" w:cs="Times New Roman"/>
        </w:rPr>
        <w:t xml:space="preserve">omme le mentionne l’arrêt </w:t>
      </w:r>
      <w:r w:rsidRPr="00E1798B">
        <w:rPr>
          <w:rFonts w:ascii="Times New Roman" w:hAnsi="Times New Roman" w:cs="Times New Roman"/>
          <w:i/>
        </w:rPr>
        <w:t>Barcelona Traction</w:t>
      </w:r>
      <w:r w:rsidRPr="00947BD1">
        <w:rPr>
          <w:rFonts w:ascii="Times New Roman" w:hAnsi="Times New Roman" w:cs="Times New Roman"/>
        </w:rPr>
        <w:t>, les nouveautés scientifiques et l’</w:t>
      </w:r>
      <w:r>
        <w:rPr>
          <w:rFonts w:ascii="Times New Roman" w:hAnsi="Times New Roman" w:cs="Times New Roman"/>
        </w:rPr>
        <w:t xml:space="preserve">intervention des hommes créés </w:t>
      </w:r>
      <w:r w:rsidRPr="00947BD1">
        <w:rPr>
          <w:rFonts w:ascii="Times New Roman" w:hAnsi="Times New Roman" w:cs="Times New Roman"/>
        </w:rPr>
        <w:t xml:space="preserve">font </w:t>
      </w:r>
      <w:r>
        <w:rPr>
          <w:rFonts w:ascii="Times New Roman" w:hAnsi="Times New Roman" w:cs="Times New Roman"/>
        </w:rPr>
        <w:t>à présent naître des exigences nouvelles. En effet, il existe un nombre suffisant de preuves scientifiques</w:t>
      </w:r>
      <w:r w:rsidRPr="00947BD1">
        <w:rPr>
          <w:rFonts w:ascii="Times New Roman" w:hAnsi="Times New Roman" w:cs="Times New Roman"/>
        </w:rPr>
        <w:t xml:space="preserve"> tendant à démontrer d’une part, que la libéralisation des échanges catalyse la dégradation de l’environnement</w:t>
      </w:r>
      <w:r>
        <w:rPr>
          <w:rStyle w:val="Marquenotebasdepage"/>
          <w:rFonts w:ascii="Times New Roman" w:hAnsi="Times New Roman" w:cs="Times New Roman"/>
        </w:rPr>
        <w:footnoteReference w:id="135"/>
      </w:r>
      <w:r w:rsidRPr="00947BD1">
        <w:rPr>
          <w:rFonts w:ascii="Times New Roman" w:hAnsi="Times New Roman" w:cs="Times New Roman"/>
        </w:rPr>
        <w:t>, et d’autre part, que la croissance du libre-échange est dommageable pour l’environnement</w:t>
      </w:r>
      <w:r w:rsidRPr="00947BD1">
        <w:rPr>
          <w:rStyle w:val="Marquenotebasdepage"/>
          <w:rFonts w:ascii="Times New Roman" w:hAnsi="Times New Roman" w:cs="Times New Roman"/>
        </w:rPr>
        <w:footnoteReference w:id="136"/>
      </w:r>
      <w:r w:rsidRPr="00947BD1">
        <w:rPr>
          <w:rFonts w:ascii="Times New Roman" w:hAnsi="Times New Roman" w:cs="Times New Roman"/>
        </w:rPr>
        <w:t>.</w:t>
      </w:r>
      <w:r>
        <w:rPr>
          <w:rFonts w:ascii="Times New Roman" w:hAnsi="Times New Roman" w:cs="Times New Roman"/>
        </w:rPr>
        <w:t xml:space="preserve"> </w:t>
      </w:r>
      <w:r w:rsidRPr="00947BD1">
        <w:rPr>
          <w:rFonts w:ascii="Times New Roman" w:hAnsi="Times New Roman" w:cs="Times New Roman"/>
        </w:rPr>
        <w:t xml:space="preserve">Il convient </w:t>
      </w:r>
      <w:r>
        <w:rPr>
          <w:rFonts w:ascii="Times New Roman" w:hAnsi="Times New Roman" w:cs="Times New Roman"/>
        </w:rPr>
        <w:t>aussi d</w:t>
      </w:r>
      <w:r w:rsidRPr="00947BD1">
        <w:rPr>
          <w:rFonts w:ascii="Times New Roman" w:hAnsi="Times New Roman" w:cs="Times New Roman"/>
        </w:rPr>
        <w:t>e mentionner que la « main invisible »</w:t>
      </w:r>
      <w:r>
        <w:rPr>
          <w:rFonts w:ascii="Times New Roman" w:hAnsi="Times New Roman" w:cs="Times New Roman"/>
        </w:rPr>
        <w:t>,</w:t>
      </w:r>
      <w:r w:rsidRPr="00947BD1">
        <w:rPr>
          <w:rFonts w:ascii="Times New Roman" w:hAnsi="Times New Roman" w:cs="Times New Roman"/>
        </w:rPr>
        <w:t xml:space="preserve"> qui s’apparente à un véritable régulateur du marché</w:t>
      </w:r>
      <w:r>
        <w:rPr>
          <w:rFonts w:ascii="Times New Roman" w:hAnsi="Times New Roman" w:cs="Times New Roman"/>
        </w:rPr>
        <w:t>,</w:t>
      </w:r>
      <w:r w:rsidRPr="00947BD1">
        <w:rPr>
          <w:rFonts w:ascii="Times New Roman" w:hAnsi="Times New Roman" w:cs="Times New Roman"/>
        </w:rPr>
        <w:t xml:space="preserve"> est incapable d’intégrer la question de la protection de l’environnement dans le fonctionnement de </w:t>
      </w:r>
      <w:r>
        <w:rPr>
          <w:rFonts w:ascii="Times New Roman" w:hAnsi="Times New Roman" w:cs="Times New Roman"/>
        </w:rPr>
        <w:t>la production et des échanges</w:t>
      </w:r>
      <w:r>
        <w:rPr>
          <w:rStyle w:val="Marquenotebasdepage"/>
          <w:rFonts w:ascii="Times New Roman" w:hAnsi="Times New Roman" w:cs="Times New Roman"/>
        </w:rPr>
        <w:footnoteReference w:id="137"/>
      </w:r>
      <w:r>
        <w:rPr>
          <w:rFonts w:ascii="Times New Roman" w:hAnsi="Times New Roman" w:cs="Times New Roman"/>
        </w:rPr>
        <w:t>. Pour</w:t>
      </w:r>
      <w:r w:rsidRPr="00947BD1">
        <w:rPr>
          <w:rFonts w:ascii="Times New Roman" w:hAnsi="Times New Roman" w:cs="Times New Roman"/>
        </w:rPr>
        <w:t xml:space="preserve"> ex</w:t>
      </w:r>
      <w:r>
        <w:rPr>
          <w:rFonts w:ascii="Times New Roman" w:hAnsi="Times New Roman" w:cs="Times New Roman"/>
        </w:rPr>
        <w:t>emple, elle est tout à fait capable de répercuter</w:t>
      </w:r>
      <w:r w:rsidRPr="00947BD1">
        <w:rPr>
          <w:rFonts w:ascii="Times New Roman" w:hAnsi="Times New Roman" w:cs="Times New Roman"/>
        </w:rPr>
        <w:t xml:space="preserve"> dans le prix des marchandises le coût qu’implique leur production pour l’environnem</w:t>
      </w:r>
      <w:r>
        <w:rPr>
          <w:rFonts w:ascii="Times New Roman" w:hAnsi="Times New Roman" w:cs="Times New Roman"/>
        </w:rPr>
        <w:t>ent</w:t>
      </w:r>
      <w:r w:rsidRPr="00947BD1">
        <w:rPr>
          <w:rStyle w:val="Marquenotebasdepage"/>
          <w:rFonts w:ascii="Times New Roman" w:hAnsi="Times New Roman" w:cs="Times New Roman"/>
        </w:rPr>
        <w:footnoteReference w:id="138"/>
      </w:r>
      <w:r>
        <w:rPr>
          <w:rFonts w:ascii="Times New Roman" w:hAnsi="Times New Roman" w:cs="Times New Roman"/>
        </w:rPr>
        <w:t>.</w:t>
      </w:r>
      <w:r w:rsidRPr="00947BD1">
        <w:rPr>
          <w:rFonts w:ascii="Times New Roman" w:hAnsi="Times New Roman" w:cs="Times New Roman"/>
        </w:rPr>
        <w:t xml:space="preserve"> </w:t>
      </w:r>
      <w:r>
        <w:rPr>
          <w:rFonts w:ascii="Times New Roman" w:hAnsi="Times New Roman" w:cs="Times New Roman"/>
        </w:rPr>
        <w:t>Pour toutes ces raisons, l</w:t>
      </w:r>
      <w:r w:rsidRPr="00947BD1">
        <w:rPr>
          <w:rFonts w:ascii="Times New Roman" w:hAnsi="Times New Roman" w:cs="Times New Roman"/>
        </w:rPr>
        <w:t xml:space="preserve">’Etat se révèle </w:t>
      </w:r>
      <w:r>
        <w:rPr>
          <w:rFonts w:ascii="Times New Roman" w:hAnsi="Times New Roman" w:cs="Times New Roman"/>
        </w:rPr>
        <w:t xml:space="preserve">ainsi </w:t>
      </w:r>
      <w:r w:rsidRPr="00947BD1">
        <w:rPr>
          <w:rFonts w:ascii="Times New Roman" w:hAnsi="Times New Roman" w:cs="Times New Roman"/>
        </w:rPr>
        <w:t>êtr</w:t>
      </w:r>
      <w:r>
        <w:rPr>
          <w:rFonts w:ascii="Times New Roman" w:hAnsi="Times New Roman" w:cs="Times New Roman"/>
        </w:rPr>
        <w:t>e indispensable et doit utiliser</w:t>
      </w:r>
      <w:r w:rsidRPr="00947BD1">
        <w:rPr>
          <w:rFonts w:ascii="Times New Roman" w:hAnsi="Times New Roman" w:cs="Times New Roman"/>
        </w:rPr>
        <w:t xml:space="preserve"> ses prérogatives souveraines dans le but d’apporter des réponses au défi que soulève </w:t>
      </w:r>
      <w:r>
        <w:rPr>
          <w:rFonts w:ascii="Times New Roman" w:hAnsi="Times New Roman" w:cs="Times New Roman"/>
        </w:rPr>
        <w:t>le débat entre le commerce et l’environnement</w:t>
      </w:r>
      <w:r w:rsidRPr="00947BD1">
        <w:rPr>
          <w:rFonts w:ascii="Times New Roman" w:hAnsi="Times New Roman" w:cs="Times New Roman"/>
        </w:rPr>
        <w:t>.</w:t>
      </w:r>
      <w:r>
        <w:rPr>
          <w:rFonts w:ascii="Times New Roman" w:hAnsi="Times New Roman" w:cs="Times New Roman"/>
        </w:rPr>
        <w:t xml:space="preserve"> Afin que l’action des Etats soit plus efficace, elle </w:t>
      </w:r>
      <w:r w:rsidRPr="00947BD1">
        <w:rPr>
          <w:rFonts w:ascii="Times New Roman" w:hAnsi="Times New Roman" w:cs="Times New Roman"/>
        </w:rPr>
        <w:t>doit s’inscrire dans un contexte de coopération internationale</w:t>
      </w:r>
      <w:r w:rsidRPr="00947BD1">
        <w:rPr>
          <w:rStyle w:val="Marquenotebasdepage"/>
          <w:rFonts w:ascii="Times New Roman" w:hAnsi="Times New Roman" w:cs="Times New Roman"/>
        </w:rPr>
        <w:footnoteReference w:id="139"/>
      </w:r>
      <w:r w:rsidRPr="00947BD1">
        <w:rPr>
          <w:rFonts w:ascii="Times New Roman" w:hAnsi="Times New Roman" w:cs="Times New Roman"/>
        </w:rPr>
        <w:t>. Cette action a d’ailleurs donné naissance au droit international de l’environnement</w:t>
      </w:r>
      <w:r>
        <w:rPr>
          <w:rStyle w:val="Marquenotebasdepage"/>
          <w:rFonts w:ascii="Times New Roman" w:hAnsi="Times New Roman" w:cs="Times New Roman"/>
        </w:rPr>
        <w:footnoteReference w:id="140"/>
      </w:r>
      <w:r w:rsidRPr="00947BD1">
        <w:rPr>
          <w:rFonts w:ascii="Times New Roman" w:hAnsi="Times New Roman" w:cs="Times New Roman"/>
        </w:rPr>
        <w:t xml:space="preserve">. </w:t>
      </w:r>
    </w:p>
    <w:p w14:paraId="4A6918BA" w14:textId="77777777" w:rsidR="00127E1B" w:rsidRPr="00947BD1" w:rsidRDefault="00127E1B" w:rsidP="00127E1B">
      <w:pPr>
        <w:spacing w:line="360" w:lineRule="auto"/>
        <w:jc w:val="both"/>
        <w:rPr>
          <w:rFonts w:ascii="Times New Roman" w:hAnsi="Times New Roman" w:cs="Times New Roman"/>
        </w:rPr>
      </w:pPr>
    </w:p>
    <w:p w14:paraId="3CE67036" w14:textId="3DCC55B4" w:rsidR="00127E1B" w:rsidRDefault="00127E1B" w:rsidP="00127E1B">
      <w:pPr>
        <w:spacing w:line="360" w:lineRule="auto"/>
        <w:jc w:val="both"/>
        <w:rPr>
          <w:rFonts w:ascii="Times New Roman" w:hAnsi="Times New Roman" w:cs="Times New Roman"/>
        </w:rPr>
      </w:pPr>
      <w:r w:rsidRPr="00947BD1">
        <w:rPr>
          <w:rFonts w:ascii="Times New Roman" w:hAnsi="Times New Roman" w:cs="Times New Roman"/>
        </w:rPr>
        <w:t>La marge de manœuvre dont disposent les Etats dans un contexte où la libéralisation des échanges échappe à la seule volonté politique est remise en cause</w:t>
      </w:r>
      <w:r w:rsidR="00E1798B">
        <w:rPr>
          <w:rStyle w:val="Marquenotebasdepage"/>
          <w:rFonts w:ascii="Times New Roman" w:hAnsi="Times New Roman" w:cs="Times New Roman"/>
        </w:rPr>
        <w:footnoteReference w:id="141"/>
      </w:r>
      <w:r w:rsidR="00852FF4">
        <w:rPr>
          <w:rFonts w:ascii="Times New Roman" w:hAnsi="Times New Roman" w:cs="Times New Roman"/>
        </w:rPr>
        <w:t>. Si</w:t>
      </w:r>
      <w:r w:rsidRPr="00947BD1">
        <w:rPr>
          <w:rFonts w:ascii="Times New Roman" w:hAnsi="Times New Roman" w:cs="Times New Roman"/>
        </w:rPr>
        <w:t xml:space="preserve"> cette libéralisation relevait encore du choix discrétionnaire des</w:t>
      </w:r>
      <w:r w:rsidR="00852FF4">
        <w:rPr>
          <w:rFonts w:ascii="Times New Roman" w:hAnsi="Times New Roman" w:cs="Times New Roman"/>
        </w:rPr>
        <w:t xml:space="preserve"> Etats </w:t>
      </w:r>
      <w:r w:rsidRPr="00947BD1">
        <w:rPr>
          <w:rFonts w:ascii="Times New Roman" w:hAnsi="Times New Roman" w:cs="Times New Roman"/>
        </w:rPr>
        <w:t>il y a une cinquantaine d’années,</w:t>
      </w:r>
      <w:r w:rsidR="00852FF4">
        <w:rPr>
          <w:rFonts w:ascii="Times New Roman" w:hAnsi="Times New Roman" w:cs="Times New Roman"/>
        </w:rPr>
        <w:t xml:space="preserve"> </w:t>
      </w:r>
      <w:r w:rsidRPr="00947BD1">
        <w:rPr>
          <w:rFonts w:ascii="Times New Roman" w:hAnsi="Times New Roman" w:cs="Times New Roman"/>
        </w:rPr>
        <w:t>elle est à présent institutionnalisée</w:t>
      </w:r>
      <w:r w:rsidR="00E1798B">
        <w:rPr>
          <w:rStyle w:val="Marquenotebasdepage"/>
          <w:rFonts w:ascii="Times New Roman" w:hAnsi="Times New Roman" w:cs="Times New Roman"/>
        </w:rPr>
        <w:footnoteReference w:id="142"/>
      </w:r>
      <w:r>
        <w:rPr>
          <w:rFonts w:ascii="Times New Roman" w:hAnsi="Times New Roman" w:cs="Times New Roman"/>
        </w:rPr>
        <w:t xml:space="preserve">. </w:t>
      </w:r>
      <w:r w:rsidRPr="00BB3A4F">
        <w:rPr>
          <w:rFonts w:ascii="Times New Roman" w:hAnsi="Times New Roman" w:cs="Times New Roman"/>
        </w:rPr>
        <w:t>En effet, depuis les Accords de Bretton Woods, l’influence du commerce international sur les Etats souverains a été pro</w:t>
      </w:r>
      <w:r>
        <w:rPr>
          <w:rFonts w:ascii="Times New Roman" w:hAnsi="Times New Roman" w:cs="Times New Roman"/>
        </w:rPr>
        <w:t>gressivement institutionnalisée</w:t>
      </w:r>
      <w:r w:rsidRPr="00947BD1">
        <w:rPr>
          <w:rStyle w:val="Marquenotebasdepage"/>
          <w:rFonts w:ascii="Times New Roman" w:hAnsi="Times New Roman" w:cs="Times New Roman"/>
        </w:rPr>
        <w:footnoteReference w:id="143"/>
      </w:r>
      <w:r w:rsidRPr="00947BD1">
        <w:rPr>
          <w:rFonts w:ascii="Times New Roman" w:hAnsi="Times New Roman" w:cs="Times New Roman"/>
        </w:rPr>
        <w:t xml:space="preserve">. </w:t>
      </w:r>
      <w:r>
        <w:rPr>
          <w:rFonts w:ascii="Times New Roman" w:hAnsi="Times New Roman" w:cs="Times New Roman"/>
        </w:rPr>
        <w:t xml:space="preserve">Dans le sillage de ces accords, le GATT est entré en vigueur et s’est imposé comme le </w:t>
      </w:r>
      <w:r w:rsidRPr="00EB2BB9">
        <w:rPr>
          <w:rFonts w:ascii="Times New Roman" w:hAnsi="Times New Roman" w:cs="Times New Roman"/>
          <w:i/>
        </w:rPr>
        <w:t>« seul instrument multilatéral régissant le commerce international »</w:t>
      </w:r>
      <w:r>
        <w:rPr>
          <w:rStyle w:val="Marquenotebasdepage"/>
          <w:rFonts w:ascii="Times New Roman" w:hAnsi="Times New Roman" w:cs="Times New Roman"/>
        </w:rPr>
        <w:footnoteReference w:id="144"/>
      </w:r>
      <w:r>
        <w:rPr>
          <w:rFonts w:ascii="Times New Roman" w:hAnsi="Times New Roman" w:cs="Times New Roman"/>
        </w:rPr>
        <w:t>. Par la suite, l’entrée en vigueur de l’Accord de Marrakech, qui donne naissance à l’OMC, est venu d’une part, confirmer définitivement l’assise institutionnelle</w:t>
      </w:r>
      <w:r>
        <w:rPr>
          <w:rStyle w:val="Marquenotebasdepage"/>
          <w:rFonts w:ascii="Times New Roman" w:hAnsi="Times New Roman" w:cs="Times New Roman"/>
        </w:rPr>
        <w:footnoteReference w:id="145"/>
      </w:r>
      <w:r>
        <w:rPr>
          <w:rFonts w:ascii="Times New Roman" w:hAnsi="Times New Roman" w:cs="Times New Roman"/>
        </w:rPr>
        <w:t xml:space="preserve">, </w:t>
      </w:r>
      <w:r w:rsidRPr="00947BD1">
        <w:rPr>
          <w:rFonts w:ascii="Times New Roman" w:hAnsi="Times New Roman" w:cs="Times New Roman"/>
        </w:rPr>
        <w:t>et</w:t>
      </w:r>
      <w:r w:rsidR="00E1798B">
        <w:rPr>
          <w:rFonts w:ascii="Times New Roman" w:hAnsi="Times New Roman" w:cs="Times New Roman"/>
        </w:rPr>
        <w:t xml:space="preserve"> d’autre part,</w:t>
      </w:r>
      <w:r>
        <w:rPr>
          <w:rFonts w:ascii="Times New Roman" w:hAnsi="Times New Roman" w:cs="Times New Roman"/>
        </w:rPr>
        <w:t> accentuer</w:t>
      </w:r>
      <w:r w:rsidRPr="00947BD1">
        <w:rPr>
          <w:rFonts w:ascii="Times New Roman" w:hAnsi="Times New Roman" w:cs="Times New Roman"/>
        </w:rPr>
        <w:t xml:space="preserve"> </w:t>
      </w:r>
      <w:r w:rsidR="00E1798B" w:rsidRPr="00381990">
        <w:rPr>
          <w:rFonts w:ascii="Times New Roman" w:hAnsi="Times New Roman" w:cs="Times New Roman"/>
          <w:i/>
        </w:rPr>
        <w:t>« </w:t>
      </w:r>
      <w:r w:rsidRPr="00381990">
        <w:rPr>
          <w:rFonts w:ascii="Times New Roman" w:hAnsi="Times New Roman" w:cs="Times New Roman"/>
          <w:i/>
        </w:rPr>
        <w:t>le caractère supranational de ces normes qui « régissent » le commerce international</w:t>
      </w:r>
      <w:r w:rsidR="00381990" w:rsidRPr="00381990">
        <w:rPr>
          <w:rFonts w:ascii="Times New Roman" w:hAnsi="Times New Roman" w:cs="Times New Roman"/>
          <w:i/>
        </w:rPr>
        <w:t> »</w:t>
      </w:r>
      <w:r>
        <w:rPr>
          <w:rFonts w:ascii="Times New Roman" w:hAnsi="Times New Roman" w:cs="Times New Roman"/>
        </w:rPr>
        <w:t>.</w:t>
      </w:r>
      <w:r>
        <w:rPr>
          <w:rStyle w:val="Marquenotebasdepage"/>
          <w:rFonts w:ascii="Times New Roman" w:hAnsi="Times New Roman" w:cs="Times New Roman"/>
        </w:rPr>
        <w:footnoteReference w:id="146"/>
      </w:r>
    </w:p>
    <w:p w14:paraId="6F6B9CE2" w14:textId="77777777" w:rsidR="00127E1B" w:rsidRPr="00947BD1" w:rsidRDefault="00127E1B" w:rsidP="00127E1B">
      <w:pPr>
        <w:spacing w:line="360" w:lineRule="auto"/>
        <w:jc w:val="both"/>
        <w:rPr>
          <w:rFonts w:ascii="Times New Roman" w:hAnsi="Times New Roman" w:cs="Times New Roman"/>
          <w:u w:val="single"/>
        </w:rPr>
      </w:pPr>
    </w:p>
    <w:p w14:paraId="0E6E7F11" w14:textId="5270E9EC" w:rsidR="00127E1B" w:rsidRPr="00EE34CB" w:rsidRDefault="00127E1B" w:rsidP="00127E1B">
      <w:pPr>
        <w:spacing w:line="360" w:lineRule="auto"/>
        <w:jc w:val="both"/>
        <w:rPr>
          <w:rFonts w:ascii="Times New Roman" w:hAnsi="Times New Roman" w:cs="Times New Roman"/>
          <w:smallCaps/>
          <w:u w:val="single"/>
        </w:rPr>
      </w:pPr>
      <w:r w:rsidRPr="00EE34CB">
        <w:rPr>
          <w:rFonts w:ascii="Times New Roman" w:hAnsi="Times New Roman" w:cs="Times New Roman"/>
          <w:smallCaps/>
          <w:u w:val="single"/>
        </w:rPr>
        <w:t xml:space="preserve">Section III : </w:t>
      </w:r>
      <w:r w:rsidR="001D2870" w:rsidRPr="00EE34CB">
        <w:rPr>
          <w:rFonts w:ascii="Times New Roman" w:hAnsi="Times New Roman" w:cs="Times New Roman"/>
          <w:smallCaps/>
          <w:u w:val="single"/>
        </w:rPr>
        <w:t>Le c</w:t>
      </w:r>
      <w:r w:rsidRPr="00EE34CB">
        <w:rPr>
          <w:rFonts w:ascii="Times New Roman" w:hAnsi="Times New Roman" w:cs="Times New Roman"/>
          <w:smallCaps/>
          <w:u w:val="single"/>
        </w:rPr>
        <w:t xml:space="preserve">ommerce et </w:t>
      </w:r>
      <w:r w:rsidR="001D2870" w:rsidRPr="00EE34CB">
        <w:rPr>
          <w:rFonts w:ascii="Times New Roman" w:hAnsi="Times New Roman" w:cs="Times New Roman"/>
          <w:smallCaps/>
          <w:u w:val="single"/>
        </w:rPr>
        <w:t>l’</w:t>
      </w:r>
      <w:r w:rsidRPr="00EE34CB">
        <w:rPr>
          <w:rFonts w:ascii="Times New Roman" w:hAnsi="Times New Roman" w:cs="Times New Roman"/>
          <w:smallCaps/>
          <w:u w:val="single"/>
        </w:rPr>
        <w:t>environnement : Un débat qui s’impose au GATT et à l’OMC</w:t>
      </w:r>
    </w:p>
    <w:p w14:paraId="400D777B" w14:textId="77777777" w:rsidR="00127E1B" w:rsidRPr="00947BD1" w:rsidRDefault="00127E1B" w:rsidP="00127E1B">
      <w:pPr>
        <w:spacing w:line="360" w:lineRule="auto"/>
        <w:jc w:val="both"/>
        <w:rPr>
          <w:rFonts w:ascii="Times New Roman" w:hAnsi="Times New Roman" w:cs="Times New Roman"/>
        </w:rPr>
      </w:pPr>
      <w:r w:rsidRPr="00947BD1">
        <w:rPr>
          <w:rFonts w:ascii="Times New Roman" w:hAnsi="Times New Roman" w:cs="Times New Roman"/>
        </w:rPr>
        <w:t xml:space="preserve">Il convient </w:t>
      </w:r>
      <w:r>
        <w:rPr>
          <w:rFonts w:ascii="Times New Roman" w:hAnsi="Times New Roman" w:cs="Times New Roman"/>
        </w:rPr>
        <w:t xml:space="preserve">à présent </w:t>
      </w:r>
      <w:r w:rsidRPr="00947BD1">
        <w:rPr>
          <w:rFonts w:ascii="Times New Roman" w:hAnsi="Times New Roman" w:cs="Times New Roman"/>
        </w:rPr>
        <w:t>de se pencher sur la place octroyée à la protection de l’environnemen</w:t>
      </w:r>
      <w:r>
        <w:rPr>
          <w:rFonts w:ascii="Times New Roman" w:hAnsi="Times New Roman" w:cs="Times New Roman"/>
        </w:rPr>
        <w:t xml:space="preserve">t dans le système du GATT/OMC. </w:t>
      </w:r>
      <w:r w:rsidRPr="00947BD1">
        <w:rPr>
          <w:rFonts w:ascii="Times New Roman" w:hAnsi="Times New Roman" w:cs="Times New Roman"/>
        </w:rPr>
        <w:t>Comme mentionné précédemment, en intégrant le système commercial multilatéral, l’Etat souverain consent juridiquement à réduire son autonomie décisionnelle</w:t>
      </w:r>
      <w:r w:rsidRPr="00947BD1">
        <w:rPr>
          <w:rStyle w:val="Marquenotebasdepage"/>
          <w:rFonts w:ascii="Times New Roman" w:hAnsi="Times New Roman" w:cs="Times New Roman"/>
        </w:rPr>
        <w:footnoteReference w:id="147"/>
      </w:r>
      <w:r w:rsidRPr="00947BD1">
        <w:rPr>
          <w:rFonts w:ascii="Times New Roman" w:hAnsi="Times New Roman" w:cs="Times New Roman"/>
        </w:rPr>
        <w:t>. Bien que l’OMC ne soit pas une organisation environnementale</w:t>
      </w:r>
      <w:r w:rsidRPr="00947BD1">
        <w:rPr>
          <w:rStyle w:val="Marquenotebasdepage"/>
          <w:rFonts w:ascii="Times New Roman" w:hAnsi="Times New Roman" w:cs="Times New Roman"/>
        </w:rPr>
        <w:footnoteReference w:id="148"/>
      </w:r>
      <w:r w:rsidRPr="00947BD1">
        <w:rPr>
          <w:rFonts w:ascii="Times New Roman" w:hAnsi="Times New Roman" w:cs="Times New Roman"/>
        </w:rPr>
        <w:t>, elle doit toutefois se pencher sur les problèmes liés au débat entre le commerce et l’environnement.</w:t>
      </w:r>
    </w:p>
    <w:p w14:paraId="5FAD8E63" w14:textId="77777777" w:rsidR="00127E1B" w:rsidRPr="00947BD1" w:rsidRDefault="00127E1B" w:rsidP="00127E1B">
      <w:pPr>
        <w:spacing w:line="360" w:lineRule="auto"/>
        <w:jc w:val="both"/>
        <w:rPr>
          <w:rFonts w:ascii="Times New Roman" w:hAnsi="Times New Roman" w:cs="Times New Roman"/>
        </w:rPr>
      </w:pPr>
    </w:p>
    <w:p w14:paraId="203C4A9A" w14:textId="26FC8154" w:rsidR="00127E1B" w:rsidRPr="00175053" w:rsidRDefault="00127E1B" w:rsidP="00127E1B">
      <w:pPr>
        <w:spacing w:line="360" w:lineRule="auto"/>
        <w:jc w:val="both"/>
        <w:rPr>
          <w:rFonts w:ascii="Times New Roman" w:hAnsi="Times New Roman" w:cs="Times New Roman"/>
        </w:rPr>
      </w:pPr>
      <w:r w:rsidRPr="00947BD1">
        <w:rPr>
          <w:rFonts w:ascii="Times New Roman" w:hAnsi="Times New Roman" w:cs="Times New Roman"/>
        </w:rPr>
        <w:t xml:space="preserve">Afin de garantir la pérennité du système commercial multilatéral de l’OMC, il faut constater que toute </w:t>
      </w:r>
      <w:r w:rsidRPr="00947BD1">
        <w:rPr>
          <w:rFonts w:ascii="Times New Roman" w:hAnsi="Times New Roman" w:cs="Times New Roman"/>
          <w:i/>
        </w:rPr>
        <w:t>« approche constitutionnelle de la mondialisation commerciale ne peut reposer que sur des valeurs communes au service de l’intérêt général »</w:t>
      </w:r>
      <w:r w:rsidRPr="00947BD1">
        <w:rPr>
          <w:rStyle w:val="Marquenotebasdepage"/>
          <w:rFonts w:ascii="Times New Roman" w:hAnsi="Times New Roman" w:cs="Times New Roman"/>
          <w:i/>
        </w:rPr>
        <w:footnoteReference w:id="149"/>
      </w:r>
      <w:r w:rsidRPr="00947BD1">
        <w:rPr>
          <w:rFonts w:ascii="Times New Roman" w:hAnsi="Times New Roman" w:cs="Times New Roman"/>
        </w:rPr>
        <w:t xml:space="preserve">. </w:t>
      </w:r>
    </w:p>
    <w:p w14:paraId="4406B93B" w14:textId="77777777" w:rsidR="00127E1B" w:rsidRDefault="00127E1B" w:rsidP="00127E1B">
      <w:pPr>
        <w:spacing w:line="360" w:lineRule="auto"/>
        <w:jc w:val="both"/>
        <w:rPr>
          <w:rFonts w:ascii="Times New Roman" w:hAnsi="Times New Roman" w:cs="Times New Roman"/>
          <w:u w:val="single"/>
        </w:rPr>
      </w:pPr>
    </w:p>
    <w:p w14:paraId="50FCEA9E" w14:textId="77777777" w:rsidR="00127E1B" w:rsidRPr="00EE34CB" w:rsidRDefault="00127E1B" w:rsidP="00127E1B">
      <w:pPr>
        <w:spacing w:line="360" w:lineRule="auto"/>
        <w:jc w:val="both"/>
        <w:rPr>
          <w:rFonts w:ascii="Times New Roman" w:hAnsi="Times New Roman" w:cs="Times New Roman"/>
          <w:smallCaps/>
          <w:u w:val="single"/>
        </w:rPr>
      </w:pPr>
      <w:r w:rsidRPr="00EE34CB">
        <w:rPr>
          <w:rFonts w:ascii="Times New Roman" w:hAnsi="Times New Roman" w:cs="Times New Roman"/>
          <w:smallCaps/>
          <w:u w:val="single"/>
        </w:rPr>
        <w:t>Section IV : GATT/OMC et environnement : une solution à rechercher dans la jurisprudence</w:t>
      </w:r>
    </w:p>
    <w:p w14:paraId="11C1959B" w14:textId="14C9F09A" w:rsidR="00127E1B" w:rsidRPr="00947BD1" w:rsidRDefault="00127E1B" w:rsidP="00127E1B">
      <w:pPr>
        <w:spacing w:line="360" w:lineRule="auto"/>
        <w:jc w:val="both"/>
        <w:rPr>
          <w:rFonts w:ascii="Times New Roman" w:hAnsi="Times New Roman" w:cs="Times New Roman"/>
        </w:rPr>
      </w:pPr>
      <w:r w:rsidRPr="00947BD1">
        <w:rPr>
          <w:rFonts w:ascii="Times New Roman" w:hAnsi="Times New Roman" w:cs="Times New Roman"/>
        </w:rPr>
        <w:t>Il faut souligner que les parties contractantes se sont rend</w:t>
      </w:r>
      <w:r w:rsidR="00FE2912">
        <w:rPr>
          <w:rFonts w:ascii="Times New Roman" w:hAnsi="Times New Roman" w:cs="Times New Roman"/>
        </w:rPr>
        <w:t>u</w:t>
      </w:r>
      <w:r>
        <w:rPr>
          <w:rFonts w:ascii="Times New Roman" w:hAnsi="Times New Roman" w:cs="Times New Roman"/>
        </w:rPr>
        <w:t xml:space="preserve"> compte assez rapidement </w:t>
      </w:r>
      <w:r w:rsidRPr="00947BD1">
        <w:rPr>
          <w:rFonts w:ascii="Times New Roman" w:hAnsi="Times New Roman" w:cs="Times New Roman"/>
        </w:rPr>
        <w:t>de l’existence de</w:t>
      </w:r>
      <w:r w:rsidR="00E1798B">
        <w:rPr>
          <w:rFonts w:ascii="Times New Roman" w:hAnsi="Times New Roman" w:cs="Times New Roman"/>
        </w:rPr>
        <w:t xml:space="preserve"> la question environnementale </w:t>
      </w:r>
      <w:r w:rsidRPr="00947BD1">
        <w:rPr>
          <w:rFonts w:ascii="Times New Roman" w:hAnsi="Times New Roman" w:cs="Times New Roman"/>
        </w:rPr>
        <w:t xml:space="preserve">et ce, </w:t>
      </w:r>
      <w:r w:rsidR="007A7E60" w:rsidRPr="007A29B5">
        <w:rPr>
          <w:rFonts w:ascii="Times New Roman" w:hAnsi="Times New Roman" w:cs="Times New Roman"/>
        </w:rPr>
        <w:t>en dépit de</w:t>
      </w:r>
      <w:r w:rsidR="007A7E60">
        <w:rPr>
          <w:rFonts w:ascii="Times New Roman" w:hAnsi="Times New Roman" w:cs="Times New Roman"/>
        </w:rPr>
        <w:t xml:space="preserve"> </w:t>
      </w:r>
      <w:r>
        <w:rPr>
          <w:rFonts w:ascii="Times New Roman" w:hAnsi="Times New Roman" w:cs="Times New Roman"/>
        </w:rPr>
        <w:t xml:space="preserve">l’absence de </w:t>
      </w:r>
      <w:r w:rsidRPr="00947BD1">
        <w:rPr>
          <w:rFonts w:ascii="Times New Roman" w:hAnsi="Times New Roman" w:cs="Times New Roman"/>
        </w:rPr>
        <w:t>toute référence à l’environnement dans</w:t>
      </w:r>
      <w:r w:rsidR="00E1798B">
        <w:rPr>
          <w:rFonts w:ascii="Times New Roman" w:hAnsi="Times New Roman" w:cs="Times New Roman"/>
        </w:rPr>
        <w:t xml:space="preserve"> l’Accord général</w:t>
      </w:r>
      <w:r w:rsidR="00E1798B">
        <w:rPr>
          <w:rStyle w:val="Marquenotebasdepage"/>
          <w:rFonts w:ascii="Times New Roman" w:hAnsi="Times New Roman" w:cs="Times New Roman"/>
        </w:rPr>
        <w:footnoteReference w:id="150"/>
      </w:r>
      <w:r w:rsidRPr="00947BD1">
        <w:rPr>
          <w:rFonts w:ascii="Times New Roman" w:hAnsi="Times New Roman" w:cs="Times New Roman"/>
        </w:rPr>
        <w:t>. Ainsi, en 1971, le conseil du GATT mettait en place un groupe de travail qui devait se pencher sur les mesures environnementales et le commerce international</w:t>
      </w:r>
      <w:r w:rsidRPr="00947BD1">
        <w:rPr>
          <w:rStyle w:val="Marquenotebasdepage"/>
          <w:rFonts w:ascii="Times New Roman" w:hAnsi="Times New Roman" w:cs="Times New Roman"/>
        </w:rPr>
        <w:footnoteReference w:id="151"/>
      </w:r>
      <w:r w:rsidRPr="00947BD1">
        <w:rPr>
          <w:rFonts w:ascii="Times New Roman" w:hAnsi="Times New Roman" w:cs="Times New Roman"/>
        </w:rPr>
        <w:t>.</w:t>
      </w:r>
      <w:r>
        <w:rPr>
          <w:rFonts w:ascii="Times New Roman" w:hAnsi="Times New Roman" w:cs="Times New Roman"/>
        </w:rPr>
        <w:t xml:space="preserve"> Ce groupe, très peu actif, était</w:t>
      </w:r>
      <w:r w:rsidRPr="00947BD1">
        <w:rPr>
          <w:rFonts w:ascii="Times New Roman" w:hAnsi="Times New Roman" w:cs="Times New Roman"/>
        </w:rPr>
        <w:t xml:space="preserve"> remplacé par le Comité « Commerce </w:t>
      </w:r>
      <w:r>
        <w:rPr>
          <w:rFonts w:ascii="Times New Roman" w:hAnsi="Times New Roman" w:cs="Times New Roman"/>
        </w:rPr>
        <w:t>et Environnement »</w:t>
      </w:r>
      <w:r>
        <w:rPr>
          <w:rStyle w:val="Marquenotebasdepage"/>
          <w:rFonts w:ascii="Times New Roman" w:hAnsi="Times New Roman" w:cs="Times New Roman"/>
        </w:rPr>
        <w:footnoteReference w:id="152"/>
      </w:r>
      <w:r>
        <w:rPr>
          <w:rFonts w:ascii="Times New Roman" w:hAnsi="Times New Roman" w:cs="Times New Roman"/>
        </w:rPr>
        <w:t xml:space="preserve"> </w:t>
      </w:r>
      <w:r w:rsidRPr="007A29B5">
        <w:rPr>
          <w:rFonts w:ascii="Times New Roman" w:hAnsi="Times New Roman" w:cs="Times New Roman"/>
        </w:rPr>
        <w:t>qui fut lui aussi un échec</w:t>
      </w:r>
      <w:r w:rsidR="007A7E60" w:rsidRPr="007A29B5">
        <w:rPr>
          <w:rFonts w:ascii="Times New Roman" w:hAnsi="Times New Roman" w:cs="Times New Roman"/>
        </w:rPr>
        <w:t xml:space="preserve"> </w:t>
      </w:r>
      <w:r w:rsidRPr="007A29B5">
        <w:rPr>
          <w:rFonts w:ascii="Times New Roman" w:hAnsi="Times New Roman" w:cs="Times New Roman"/>
        </w:rPr>
        <w:t xml:space="preserve">et laissa ainsi </w:t>
      </w:r>
      <w:r w:rsidRPr="007A29B5">
        <w:rPr>
          <w:rFonts w:ascii="Times New Roman" w:hAnsi="Times New Roman" w:cs="Times New Roman"/>
          <w:i/>
        </w:rPr>
        <w:t>« un</w:t>
      </w:r>
      <w:r w:rsidRPr="00947BD1">
        <w:rPr>
          <w:rFonts w:ascii="Times New Roman" w:hAnsi="Times New Roman" w:cs="Times New Roman"/>
          <w:i/>
        </w:rPr>
        <w:t xml:space="preserve"> vide politique que l’ORD doit dès lors combler »</w:t>
      </w:r>
      <w:r w:rsidRPr="00947BD1">
        <w:rPr>
          <w:rStyle w:val="Marquenotebasdepage"/>
          <w:rFonts w:ascii="Times New Roman" w:hAnsi="Times New Roman" w:cs="Times New Roman"/>
          <w:i/>
        </w:rPr>
        <w:footnoteReference w:id="153"/>
      </w:r>
      <w:r w:rsidRPr="00947BD1">
        <w:rPr>
          <w:rFonts w:ascii="Times New Roman" w:hAnsi="Times New Roman" w:cs="Times New Roman"/>
        </w:rPr>
        <w:t xml:space="preserve">. Il convient </w:t>
      </w:r>
      <w:r>
        <w:rPr>
          <w:rFonts w:ascii="Times New Roman" w:hAnsi="Times New Roman" w:cs="Times New Roman"/>
        </w:rPr>
        <w:t xml:space="preserve">ainsi </w:t>
      </w:r>
      <w:r w:rsidRPr="00947BD1">
        <w:rPr>
          <w:rFonts w:ascii="Times New Roman" w:hAnsi="Times New Roman" w:cs="Times New Roman"/>
        </w:rPr>
        <w:t>de se pencher sur la jurisprudence du GATT et de l’OMC</w:t>
      </w:r>
      <w:r w:rsidR="00FE2912">
        <w:rPr>
          <w:rFonts w:ascii="Times New Roman" w:hAnsi="Times New Roman" w:cs="Times New Roman"/>
        </w:rPr>
        <w:t>,</w:t>
      </w:r>
      <w:r>
        <w:rPr>
          <w:rFonts w:ascii="Times New Roman" w:hAnsi="Times New Roman" w:cs="Times New Roman"/>
        </w:rPr>
        <w:t xml:space="preserve"> dont l</w:t>
      </w:r>
      <w:r w:rsidRPr="00947BD1">
        <w:rPr>
          <w:rFonts w:ascii="Times New Roman" w:hAnsi="Times New Roman" w:cs="Times New Roman"/>
        </w:rPr>
        <w:t>’analyse va permettre d’établir un double constat.</w:t>
      </w:r>
      <w:r>
        <w:rPr>
          <w:rFonts w:ascii="Times New Roman" w:hAnsi="Times New Roman" w:cs="Times New Roman"/>
        </w:rPr>
        <w:t xml:space="preserve"> </w:t>
      </w:r>
      <w:r w:rsidRPr="00947BD1">
        <w:rPr>
          <w:rFonts w:ascii="Times New Roman" w:hAnsi="Times New Roman" w:cs="Times New Roman"/>
        </w:rPr>
        <w:t>En premier lieu, elle montre les mesures environnementales que les</w:t>
      </w:r>
      <w:r w:rsidR="00EB2BB9">
        <w:rPr>
          <w:rFonts w:ascii="Times New Roman" w:hAnsi="Times New Roman" w:cs="Times New Roman"/>
        </w:rPr>
        <w:t xml:space="preserve"> Etats sont en droit d’adopter </w:t>
      </w:r>
      <w:r w:rsidRPr="00947BD1">
        <w:rPr>
          <w:rFonts w:ascii="Times New Roman" w:hAnsi="Times New Roman" w:cs="Times New Roman"/>
        </w:rPr>
        <w:t>a</w:t>
      </w:r>
      <w:r w:rsidR="00EB2BB9">
        <w:rPr>
          <w:rFonts w:ascii="Times New Roman" w:hAnsi="Times New Roman" w:cs="Times New Roman"/>
        </w:rPr>
        <w:t>u sein du GATT et puis de l’OMC</w:t>
      </w:r>
      <w:r w:rsidRPr="00947BD1">
        <w:rPr>
          <w:rFonts w:ascii="Times New Roman" w:hAnsi="Times New Roman" w:cs="Times New Roman"/>
        </w:rPr>
        <w:t>. En second lieu, elle apporte un éclaircissement quant à la place octroyée par le système commercial multilatéral à la protection de l’environnement</w:t>
      </w:r>
      <w:r w:rsidRPr="00947BD1">
        <w:rPr>
          <w:rStyle w:val="Marquenotebasdepage"/>
          <w:rFonts w:ascii="Times New Roman" w:hAnsi="Times New Roman" w:cs="Times New Roman"/>
        </w:rPr>
        <w:footnoteReference w:id="154"/>
      </w:r>
      <w:r w:rsidRPr="00947BD1">
        <w:rPr>
          <w:rFonts w:ascii="Times New Roman" w:hAnsi="Times New Roman" w:cs="Times New Roman"/>
        </w:rPr>
        <w:t>.</w:t>
      </w:r>
    </w:p>
    <w:p w14:paraId="520096BA" w14:textId="77777777" w:rsidR="00127E1B" w:rsidRPr="00947BD1" w:rsidRDefault="00127E1B" w:rsidP="00127E1B">
      <w:pPr>
        <w:spacing w:line="360" w:lineRule="auto"/>
        <w:jc w:val="both"/>
        <w:rPr>
          <w:rFonts w:ascii="Times New Roman" w:hAnsi="Times New Roman" w:cs="Times New Roman"/>
        </w:rPr>
      </w:pPr>
    </w:p>
    <w:p w14:paraId="7BA3433F" w14:textId="77777777" w:rsidR="00127E1B" w:rsidRPr="00EE34CB" w:rsidRDefault="00127E1B" w:rsidP="00127E1B">
      <w:pPr>
        <w:spacing w:line="360" w:lineRule="auto"/>
        <w:jc w:val="both"/>
        <w:rPr>
          <w:rFonts w:ascii="Times New Roman" w:hAnsi="Times New Roman" w:cs="Times New Roman"/>
          <w:smallCaps/>
          <w:u w:val="single"/>
        </w:rPr>
      </w:pPr>
      <w:r w:rsidRPr="00EE34CB">
        <w:rPr>
          <w:rFonts w:ascii="Times New Roman" w:hAnsi="Times New Roman" w:cs="Times New Roman"/>
          <w:smallCaps/>
          <w:u w:val="single"/>
        </w:rPr>
        <w:t>Section V : L’invocabilité contentieuse croissante de l’exception environnementale </w:t>
      </w:r>
    </w:p>
    <w:p w14:paraId="4157B462" w14:textId="3F230ED1" w:rsidR="00127E1B" w:rsidRDefault="00AB360E" w:rsidP="00127E1B">
      <w:pPr>
        <w:spacing w:line="360" w:lineRule="auto"/>
        <w:jc w:val="both"/>
        <w:rPr>
          <w:rFonts w:ascii="Times New Roman" w:hAnsi="Times New Roman" w:cs="Times New Roman"/>
        </w:rPr>
      </w:pPr>
      <w:r>
        <w:rPr>
          <w:rFonts w:ascii="Times New Roman" w:hAnsi="Times New Roman" w:cs="Times New Roman"/>
        </w:rPr>
        <w:t xml:space="preserve">Si l’Accord général apparaît </w:t>
      </w:r>
      <w:r w:rsidR="00127E1B" w:rsidRPr="00947BD1">
        <w:rPr>
          <w:rFonts w:ascii="Times New Roman" w:hAnsi="Times New Roman" w:cs="Times New Roman"/>
        </w:rPr>
        <w:t>comme un système cohérent de règles qui tend v</w:t>
      </w:r>
      <w:r w:rsidR="00127E1B">
        <w:rPr>
          <w:rFonts w:ascii="Times New Roman" w:hAnsi="Times New Roman" w:cs="Times New Roman"/>
        </w:rPr>
        <w:t>ers le libre-échange, il convient de souligner que le système repose sur des principes</w:t>
      </w:r>
      <w:r w:rsidR="00E1798B">
        <w:rPr>
          <w:rFonts w:ascii="Times New Roman" w:hAnsi="Times New Roman" w:cs="Times New Roman"/>
        </w:rPr>
        <w:t xml:space="preserve"> </w:t>
      </w:r>
      <w:r w:rsidR="00127E1B" w:rsidRPr="00947BD1">
        <w:rPr>
          <w:rFonts w:ascii="Times New Roman" w:hAnsi="Times New Roman" w:cs="Times New Roman"/>
        </w:rPr>
        <w:t>cardinaux</w:t>
      </w:r>
      <w:r w:rsidR="00FE2912">
        <w:rPr>
          <w:rFonts w:ascii="Times New Roman" w:hAnsi="Times New Roman" w:cs="Times New Roman"/>
        </w:rPr>
        <w:t>,</w:t>
      </w:r>
      <w:r w:rsidR="00127E1B" w:rsidRPr="00947BD1">
        <w:rPr>
          <w:rFonts w:ascii="Times New Roman" w:hAnsi="Times New Roman" w:cs="Times New Roman"/>
        </w:rPr>
        <w:t> notamment la clause de la nation la plus favorisée</w:t>
      </w:r>
      <w:r w:rsidR="00127E1B" w:rsidRPr="00947BD1">
        <w:rPr>
          <w:rStyle w:val="Marquenotebasdepage"/>
          <w:rFonts w:ascii="Times New Roman" w:hAnsi="Times New Roman" w:cs="Times New Roman"/>
        </w:rPr>
        <w:footnoteReference w:id="155"/>
      </w:r>
      <w:r w:rsidR="00127E1B" w:rsidRPr="00947BD1">
        <w:rPr>
          <w:rFonts w:ascii="Times New Roman" w:hAnsi="Times New Roman" w:cs="Times New Roman"/>
        </w:rPr>
        <w:t>, le traitement national</w:t>
      </w:r>
      <w:r w:rsidR="00127E1B" w:rsidRPr="00947BD1">
        <w:rPr>
          <w:rStyle w:val="Marquenotebasdepage"/>
          <w:rFonts w:ascii="Times New Roman" w:hAnsi="Times New Roman" w:cs="Times New Roman"/>
        </w:rPr>
        <w:footnoteReference w:id="156"/>
      </w:r>
      <w:r w:rsidR="00127E1B" w:rsidRPr="00947BD1">
        <w:rPr>
          <w:rFonts w:ascii="Times New Roman" w:hAnsi="Times New Roman" w:cs="Times New Roman"/>
        </w:rPr>
        <w:t>, l’élimination générale des restrictions quantitatives</w:t>
      </w:r>
      <w:r w:rsidR="00127E1B" w:rsidRPr="00947BD1">
        <w:rPr>
          <w:rStyle w:val="Marquenotebasdepage"/>
          <w:rFonts w:ascii="Times New Roman" w:hAnsi="Times New Roman" w:cs="Times New Roman"/>
        </w:rPr>
        <w:footnoteReference w:id="157"/>
      </w:r>
      <w:r w:rsidR="00127E1B" w:rsidRPr="00947BD1">
        <w:rPr>
          <w:rFonts w:ascii="Times New Roman" w:hAnsi="Times New Roman" w:cs="Times New Roman"/>
        </w:rPr>
        <w:t xml:space="preserve"> et la limitation des subventions</w:t>
      </w:r>
      <w:r w:rsidR="00127E1B" w:rsidRPr="00947BD1">
        <w:rPr>
          <w:rStyle w:val="Marquenotebasdepage"/>
          <w:rFonts w:ascii="Times New Roman" w:hAnsi="Times New Roman" w:cs="Times New Roman"/>
        </w:rPr>
        <w:footnoteReference w:id="158"/>
      </w:r>
      <w:r w:rsidR="00127E1B">
        <w:rPr>
          <w:rFonts w:ascii="Times New Roman" w:hAnsi="Times New Roman" w:cs="Times New Roman"/>
        </w:rPr>
        <w:t>. L</w:t>
      </w:r>
      <w:r w:rsidR="00127E1B" w:rsidRPr="00947BD1">
        <w:rPr>
          <w:rFonts w:ascii="Times New Roman" w:hAnsi="Times New Roman" w:cs="Times New Roman"/>
        </w:rPr>
        <w:t>es politiques environnementales mises en œuvre par les Etats doivent respecter ces principes fondamentaux.</w:t>
      </w:r>
      <w:r w:rsidR="00127E1B">
        <w:rPr>
          <w:rFonts w:ascii="Times New Roman" w:hAnsi="Times New Roman" w:cs="Times New Roman"/>
        </w:rPr>
        <w:t xml:space="preserve"> </w:t>
      </w:r>
      <w:r w:rsidR="00127E1B" w:rsidRPr="00947BD1">
        <w:rPr>
          <w:rFonts w:ascii="Times New Roman" w:hAnsi="Times New Roman" w:cs="Times New Roman"/>
        </w:rPr>
        <w:t>Dans un rapport de 2004 sur le commerce et l’environnement, le secrétariat de l’OMC réaffirmait</w:t>
      </w:r>
      <w:r w:rsidR="00127E1B" w:rsidRPr="00947BD1">
        <w:rPr>
          <w:rStyle w:val="Marquenotebasdepage"/>
          <w:rFonts w:ascii="Times New Roman" w:hAnsi="Times New Roman" w:cs="Times New Roman"/>
        </w:rPr>
        <w:footnoteReference w:id="159"/>
      </w:r>
      <w:r w:rsidR="00127E1B" w:rsidRPr="00947BD1">
        <w:rPr>
          <w:rFonts w:ascii="Times New Roman" w:hAnsi="Times New Roman" w:cs="Times New Roman"/>
        </w:rPr>
        <w:t xml:space="preserve"> que les </w:t>
      </w:r>
      <w:r w:rsidR="00127E1B" w:rsidRPr="00585794">
        <w:rPr>
          <w:rFonts w:ascii="Times New Roman" w:hAnsi="Times New Roman" w:cs="Times New Roman"/>
          <w:i/>
        </w:rPr>
        <w:t>« règles du GATT/ de l’OMC (…) laissent déjà une grande marge de manœuvre pour adopter des mesures de protection de l’environnement à l’échelle nationale »</w:t>
      </w:r>
      <w:r w:rsidR="00127E1B" w:rsidRPr="00947BD1">
        <w:rPr>
          <w:rStyle w:val="Marquenotebasdepage"/>
          <w:rFonts w:ascii="Times New Roman" w:hAnsi="Times New Roman" w:cs="Times New Roman"/>
        </w:rPr>
        <w:footnoteReference w:id="160"/>
      </w:r>
      <w:r w:rsidR="00127E1B" w:rsidRPr="00947BD1">
        <w:rPr>
          <w:rFonts w:ascii="Times New Roman" w:hAnsi="Times New Roman" w:cs="Times New Roman"/>
        </w:rPr>
        <w:t xml:space="preserve">. Dans le premier rapport du Comité Commerce et Environnement, il est mentionné que </w:t>
      </w:r>
      <w:r w:rsidR="00127E1B" w:rsidRPr="00585794">
        <w:rPr>
          <w:rFonts w:ascii="Times New Roman" w:hAnsi="Times New Roman" w:cs="Times New Roman"/>
          <w:i/>
        </w:rPr>
        <w:t>« les dispositions de l’OMC laissent aux gouvernements Membres la latitude</w:t>
      </w:r>
      <w:r w:rsidR="00127E1B" w:rsidRPr="00947BD1">
        <w:rPr>
          <w:rFonts w:ascii="Times New Roman" w:hAnsi="Times New Roman" w:cs="Times New Roman"/>
        </w:rPr>
        <w:t xml:space="preserve"> </w:t>
      </w:r>
      <w:r w:rsidR="00127E1B" w:rsidRPr="00585794">
        <w:rPr>
          <w:rFonts w:ascii="Times New Roman" w:hAnsi="Times New Roman" w:cs="Times New Roman"/>
          <w:i/>
        </w:rPr>
        <w:t>d’appliquer des impositions et des taxes à des fins de protection de l’environnement »</w:t>
      </w:r>
      <w:r w:rsidR="00127E1B" w:rsidRPr="00947BD1">
        <w:rPr>
          <w:rStyle w:val="Marquenotebasdepage"/>
          <w:rFonts w:ascii="Times New Roman" w:hAnsi="Times New Roman" w:cs="Times New Roman"/>
        </w:rPr>
        <w:footnoteReference w:id="161"/>
      </w:r>
      <w:r w:rsidR="00127E1B" w:rsidRPr="00947BD1">
        <w:rPr>
          <w:rFonts w:ascii="Times New Roman" w:hAnsi="Times New Roman" w:cs="Times New Roman"/>
        </w:rPr>
        <w:t>. Il convient toutefois de souligner que ces mesur</w:t>
      </w:r>
      <w:r>
        <w:rPr>
          <w:rFonts w:ascii="Times New Roman" w:hAnsi="Times New Roman" w:cs="Times New Roman"/>
        </w:rPr>
        <w:t xml:space="preserve">es sont des mesures défensives </w:t>
      </w:r>
      <w:r w:rsidR="00127E1B" w:rsidRPr="00AB360E">
        <w:rPr>
          <w:rFonts w:ascii="Times New Roman" w:hAnsi="Times New Roman" w:cs="Times New Roman"/>
        </w:rPr>
        <w:t>en ce sens</w:t>
      </w:r>
      <w:r w:rsidR="00127E1B" w:rsidRPr="00947BD1">
        <w:rPr>
          <w:rFonts w:ascii="Times New Roman" w:hAnsi="Times New Roman" w:cs="Times New Roman"/>
        </w:rPr>
        <w:t xml:space="preserve"> qu’elles tendent à s’accommoder</w:t>
      </w:r>
      <w:r>
        <w:rPr>
          <w:rFonts w:ascii="Times New Roman" w:hAnsi="Times New Roman" w:cs="Times New Roman"/>
        </w:rPr>
        <w:t xml:space="preserve"> des principes généraux du GATT.</w:t>
      </w:r>
      <w:r w:rsidR="00127E1B" w:rsidRPr="00947BD1">
        <w:rPr>
          <w:rFonts w:ascii="Times New Roman" w:hAnsi="Times New Roman" w:cs="Times New Roman"/>
        </w:rPr>
        <w:t xml:space="preserve"> L’Etat peut également utiliser des mesures plus « offensives », qui peuvent prendre la forme de sanctions ou d’autres mesures commerciales, à l’égard d’Etats si celui-ci estime qu’ils ne respectent pas l’environnement</w:t>
      </w:r>
      <w:r w:rsidR="00127E1B" w:rsidRPr="00947BD1">
        <w:rPr>
          <w:rStyle w:val="Marquenotebasdepage"/>
          <w:rFonts w:ascii="Times New Roman" w:hAnsi="Times New Roman" w:cs="Times New Roman"/>
        </w:rPr>
        <w:footnoteReference w:id="162"/>
      </w:r>
      <w:r w:rsidR="00127E1B" w:rsidRPr="00947BD1">
        <w:rPr>
          <w:rFonts w:ascii="Times New Roman" w:hAnsi="Times New Roman" w:cs="Times New Roman"/>
        </w:rPr>
        <w:t>. Ces mesures « offensives » vont ainsi entrer directement en conflit avec les fondements du système commercial multilatéral  étant donné qu’elles impliquent souvent soit des restrictions à l’importation ou à l’exportation soit un traitement différencié entre des Etats (</w:t>
      </w:r>
      <w:r w:rsidR="00127E1B" w:rsidRPr="000168E7">
        <w:rPr>
          <w:rFonts w:ascii="Times New Roman" w:hAnsi="Times New Roman" w:cs="Times New Roman"/>
        </w:rPr>
        <w:t>une discrimination</w:t>
      </w:r>
      <w:r w:rsidR="00127E1B" w:rsidRPr="00947BD1">
        <w:rPr>
          <w:rFonts w:ascii="Times New Roman" w:hAnsi="Times New Roman" w:cs="Times New Roman"/>
        </w:rPr>
        <w:t>)</w:t>
      </w:r>
      <w:r w:rsidR="00E1798B">
        <w:rPr>
          <w:rStyle w:val="Marquenotebasdepage"/>
          <w:rFonts w:ascii="Times New Roman" w:hAnsi="Times New Roman" w:cs="Times New Roman"/>
        </w:rPr>
        <w:footnoteReference w:id="163"/>
      </w:r>
      <w:r>
        <w:rPr>
          <w:rFonts w:ascii="Times New Roman" w:hAnsi="Times New Roman" w:cs="Times New Roman"/>
        </w:rPr>
        <w:t>.</w:t>
      </w:r>
      <w:r w:rsidR="00127E1B">
        <w:rPr>
          <w:rFonts w:ascii="Times New Roman" w:hAnsi="Times New Roman" w:cs="Times New Roman"/>
        </w:rPr>
        <w:t xml:space="preserve"> </w:t>
      </w:r>
      <w:r w:rsidR="00127E1B" w:rsidRPr="00947BD1">
        <w:rPr>
          <w:rFonts w:ascii="Times New Roman" w:hAnsi="Times New Roman" w:cs="Times New Roman"/>
        </w:rPr>
        <w:t>Il convient de remarquer que dans toutes les affaires qui seront ana</w:t>
      </w:r>
      <w:r w:rsidR="00EB2BB9">
        <w:rPr>
          <w:rFonts w:ascii="Times New Roman" w:hAnsi="Times New Roman" w:cs="Times New Roman"/>
        </w:rPr>
        <w:t>lysées dans le Titre</w:t>
      </w:r>
      <w:r w:rsidR="00127E1B">
        <w:rPr>
          <w:rFonts w:ascii="Times New Roman" w:hAnsi="Times New Roman" w:cs="Times New Roman"/>
        </w:rPr>
        <w:t xml:space="preserve"> II</w:t>
      </w:r>
      <w:r w:rsidR="00127E1B" w:rsidRPr="00947BD1">
        <w:rPr>
          <w:rFonts w:ascii="Times New Roman" w:hAnsi="Times New Roman" w:cs="Times New Roman"/>
        </w:rPr>
        <w:t>, des mesures offen</w:t>
      </w:r>
      <w:r w:rsidR="00E1798B">
        <w:rPr>
          <w:rFonts w:ascii="Times New Roman" w:hAnsi="Times New Roman" w:cs="Times New Roman"/>
        </w:rPr>
        <w:t>sives en sont à l’origine</w:t>
      </w:r>
      <w:r w:rsidR="00127E1B" w:rsidRPr="00947BD1">
        <w:rPr>
          <w:rFonts w:ascii="Times New Roman" w:hAnsi="Times New Roman" w:cs="Times New Roman"/>
        </w:rPr>
        <w:t xml:space="preserve">. La question </w:t>
      </w:r>
      <w:r w:rsidR="0022014D">
        <w:rPr>
          <w:rFonts w:ascii="Times New Roman" w:hAnsi="Times New Roman" w:cs="Times New Roman"/>
        </w:rPr>
        <w:t>se pose alors de</w:t>
      </w:r>
      <w:r w:rsidR="00127E1B" w:rsidRPr="00947BD1">
        <w:rPr>
          <w:rFonts w:ascii="Times New Roman" w:hAnsi="Times New Roman" w:cs="Times New Roman"/>
        </w:rPr>
        <w:t xml:space="preserve"> savoir dans quelles circonstances</w:t>
      </w:r>
      <w:r w:rsidR="0022014D">
        <w:rPr>
          <w:rFonts w:ascii="Times New Roman" w:hAnsi="Times New Roman" w:cs="Times New Roman"/>
        </w:rPr>
        <w:t xml:space="preserve"> il est possible de faire exception</w:t>
      </w:r>
      <w:r w:rsidR="00FE2912">
        <w:rPr>
          <w:rFonts w:ascii="Times New Roman" w:hAnsi="Times New Roman" w:cs="Times New Roman"/>
        </w:rPr>
        <w:t xml:space="preserve"> aux principes</w:t>
      </w:r>
      <w:r w:rsidR="00127E1B" w:rsidRPr="00947BD1">
        <w:rPr>
          <w:rFonts w:ascii="Times New Roman" w:hAnsi="Times New Roman" w:cs="Times New Roman"/>
        </w:rPr>
        <w:t xml:space="preserve"> fondamentaux du GATT dans la poursuite d’objectifs fondamentaux semble dès lors indispensable</w:t>
      </w:r>
      <w:r w:rsidR="00127E1B" w:rsidRPr="00947BD1">
        <w:rPr>
          <w:rStyle w:val="Marquenotebasdepage"/>
          <w:rFonts w:ascii="Times New Roman" w:hAnsi="Times New Roman" w:cs="Times New Roman"/>
        </w:rPr>
        <w:footnoteReference w:id="164"/>
      </w:r>
      <w:r w:rsidR="00127E1B" w:rsidRPr="00947BD1">
        <w:rPr>
          <w:rFonts w:ascii="Times New Roman" w:hAnsi="Times New Roman" w:cs="Times New Roman"/>
        </w:rPr>
        <w:t xml:space="preserve">. </w:t>
      </w:r>
    </w:p>
    <w:p w14:paraId="4217192F" w14:textId="77777777" w:rsidR="007C58AF" w:rsidRDefault="007C58AF" w:rsidP="008953AA">
      <w:pPr>
        <w:widowControl w:val="0"/>
        <w:autoSpaceDE w:val="0"/>
        <w:autoSpaceDN w:val="0"/>
        <w:adjustRightInd w:val="0"/>
        <w:spacing w:line="360" w:lineRule="auto"/>
        <w:jc w:val="both"/>
        <w:rPr>
          <w:rFonts w:ascii="Times New Roman" w:hAnsi="Times New Roman" w:cs="Times New Roman"/>
          <w:sz w:val="26"/>
          <w:szCs w:val="26"/>
          <w:u w:val="single"/>
        </w:rPr>
      </w:pPr>
    </w:p>
    <w:p w14:paraId="174A6E43" w14:textId="6003D742" w:rsidR="008953AA" w:rsidRPr="000168E7" w:rsidRDefault="001D2870" w:rsidP="008953AA">
      <w:pPr>
        <w:widowControl w:val="0"/>
        <w:autoSpaceDE w:val="0"/>
        <w:autoSpaceDN w:val="0"/>
        <w:adjustRightInd w:val="0"/>
        <w:spacing w:line="360" w:lineRule="auto"/>
        <w:jc w:val="both"/>
        <w:rPr>
          <w:rFonts w:ascii="Times New Roman" w:hAnsi="Times New Roman" w:cs="Times New Roman"/>
          <w:smallCaps/>
          <w:sz w:val="26"/>
          <w:szCs w:val="26"/>
          <w:u w:val="single"/>
        </w:rPr>
      </w:pPr>
      <w:r w:rsidRPr="000168E7">
        <w:rPr>
          <w:rFonts w:ascii="Times New Roman" w:hAnsi="Times New Roman" w:cs="Times New Roman"/>
          <w:smallCaps/>
          <w:sz w:val="26"/>
          <w:szCs w:val="26"/>
          <w:u w:val="single"/>
        </w:rPr>
        <w:t>Titre</w:t>
      </w:r>
      <w:r w:rsidR="00127E1B" w:rsidRPr="000168E7">
        <w:rPr>
          <w:rFonts w:ascii="Times New Roman" w:hAnsi="Times New Roman" w:cs="Times New Roman"/>
          <w:smallCaps/>
          <w:sz w:val="26"/>
          <w:szCs w:val="26"/>
          <w:u w:val="single"/>
        </w:rPr>
        <w:t> II</w:t>
      </w:r>
      <w:r w:rsidR="008953AA" w:rsidRPr="000168E7">
        <w:rPr>
          <w:rFonts w:ascii="Times New Roman" w:hAnsi="Times New Roman" w:cs="Times New Roman"/>
          <w:smallCaps/>
          <w:sz w:val="26"/>
          <w:szCs w:val="26"/>
          <w:u w:val="single"/>
        </w:rPr>
        <w:t xml:space="preserve">. </w:t>
      </w:r>
      <w:r w:rsidR="000168E7" w:rsidRPr="000168E7">
        <w:rPr>
          <w:rFonts w:ascii="Times New Roman" w:hAnsi="Times New Roman" w:cs="Times New Roman"/>
          <w:smallCaps/>
          <w:sz w:val="28"/>
          <w:szCs w:val="28"/>
          <w:u w:val="single"/>
        </w:rPr>
        <w:t xml:space="preserve">Pratique du GATT/de l’OMC en matière de règlement des différends se rapportant à l’article XX, paragraphes </w:t>
      </w:r>
      <w:r w:rsidR="000168E7" w:rsidRPr="000168E7">
        <w:rPr>
          <w:rFonts w:ascii="Times New Roman" w:hAnsi="Times New Roman" w:cs="Times New Roman"/>
          <w:i/>
          <w:smallCaps/>
          <w:sz w:val="28"/>
          <w:szCs w:val="28"/>
          <w:u w:val="single"/>
        </w:rPr>
        <w:t>b)</w:t>
      </w:r>
      <w:r w:rsidR="000168E7" w:rsidRPr="000168E7">
        <w:rPr>
          <w:rFonts w:ascii="Times New Roman" w:hAnsi="Times New Roman" w:cs="Times New Roman"/>
          <w:smallCaps/>
          <w:sz w:val="28"/>
          <w:szCs w:val="28"/>
          <w:u w:val="single"/>
        </w:rPr>
        <w:t xml:space="preserve"> et </w:t>
      </w:r>
      <w:r w:rsidR="000168E7" w:rsidRPr="000168E7">
        <w:rPr>
          <w:rFonts w:ascii="Times New Roman" w:hAnsi="Times New Roman" w:cs="Times New Roman"/>
          <w:i/>
          <w:smallCaps/>
          <w:sz w:val="28"/>
          <w:szCs w:val="28"/>
          <w:u w:val="single"/>
        </w:rPr>
        <w:t>g)</w:t>
      </w:r>
      <w:r w:rsidR="000168E7" w:rsidRPr="000168E7">
        <w:rPr>
          <w:rFonts w:ascii="Times New Roman" w:hAnsi="Times New Roman" w:cs="Times New Roman"/>
          <w:smallCaps/>
          <w:sz w:val="28"/>
          <w:szCs w:val="28"/>
          <w:u w:val="single"/>
        </w:rPr>
        <w:t xml:space="preserve"> du GATT</w:t>
      </w:r>
    </w:p>
    <w:p w14:paraId="657528E6" w14:textId="3EFC3E22" w:rsidR="00924C11" w:rsidRPr="00EB2BB9" w:rsidRDefault="00EB2BB9" w:rsidP="00924C11">
      <w:pPr>
        <w:widowControl w:val="0"/>
        <w:autoSpaceDE w:val="0"/>
        <w:autoSpaceDN w:val="0"/>
        <w:adjustRightInd w:val="0"/>
        <w:spacing w:line="360" w:lineRule="auto"/>
        <w:jc w:val="both"/>
        <w:rPr>
          <w:rFonts w:ascii="Times New Roman" w:hAnsi="Times New Roman" w:cs="Times New Roman"/>
          <w:b/>
        </w:rPr>
      </w:pPr>
      <w:r w:rsidRPr="00EB2BB9">
        <w:rPr>
          <w:rFonts w:ascii="Times New Roman" w:hAnsi="Times New Roman" w:cs="Times New Roman"/>
          <w:b/>
        </w:rPr>
        <w:t xml:space="preserve">Chapitre </w:t>
      </w:r>
      <w:r w:rsidR="00924C11" w:rsidRPr="00EB2BB9">
        <w:rPr>
          <w:rFonts w:ascii="Times New Roman" w:hAnsi="Times New Roman" w:cs="Times New Roman"/>
          <w:b/>
        </w:rPr>
        <w:t xml:space="preserve">I. </w:t>
      </w:r>
      <w:r w:rsidR="000168E7" w:rsidRPr="00EB2BB9">
        <w:rPr>
          <w:rFonts w:ascii="Times New Roman" w:hAnsi="Times New Roman" w:cs="Times New Roman"/>
          <w:b/>
          <w:smallCaps/>
        </w:rPr>
        <w:t xml:space="preserve">L’article XX du GATT, le chapeau et les paragraphes </w:t>
      </w:r>
      <w:r w:rsidR="000168E7" w:rsidRPr="00EB2BB9">
        <w:rPr>
          <w:rFonts w:ascii="Times New Roman" w:hAnsi="Times New Roman" w:cs="Times New Roman"/>
          <w:b/>
          <w:i/>
          <w:smallCaps/>
        </w:rPr>
        <w:t>b)</w:t>
      </w:r>
      <w:r w:rsidR="000168E7" w:rsidRPr="00EB2BB9">
        <w:rPr>
          <w:rFonts w:ascii="Times New Roman" w:hAnsi="Times New Roman" w:cs="Times New Roman"/>
          <w:b/>
          <w:smallCaps/>
        </w:rPr>
        <w:t xml:space="preserve"> et </w:t>
      </w:r>
      <w:r w:rsidR="000168E7" w:rsidRPr="00EB2BB9">
        <w:rPr>
          <w:rFonts w:ascii="Times New Roman" w:hAnsi="Times New Roman" w:cs="Times New Roman"/>
          <w:b/>
          <w:i/>
          <w:smallCaps/>
        </w:rPr>
        <w:t>g)</w:t>
      </w:r>
    </w:p>
    <w:p w14:paraId="1D74AE20" w14:textId="63B0D659" w:rsidR="008953AA" w:rsidRPr="009439D7" w:rsidRDefault="008953AA" w:rsidP="00EB2BB9">
      <w:pPr>
        <w:widowControl w:val="0"/>
        <w:autoSpaceDE w:val="0"/>
        <w:autoSpaceDN w:val="0"/>
        <w:adjustRightInd w:val="0"/>
        <w:spacing w:line="360" w:lineRule="auto"/>
        <w:jc w:val="both"/>
        <w:rPr>
          <w:rFonts w:ascii="Times New Roman" w:hAnsi="Times New Roman" w:cs="Times New Roman"/>
        </w:rPr>
      </w:pPr>
      <w:r>
        <w:rPr>
          <w:rFonts w:ascii="Times New Roman" w:hAnsi="Times New Roman" w:cs="Times New Roman"/>
        </w:rPr>
        <w:t>Il conv</w:t>
      </w:r>
      <w:r w:rsidR="007E71E6">
        <w:rPr>
          <w:rFonts w:ascii="Times New Roman" w:hAnsi="Times New Roman" w:cs="Times New Roman"/>
        </w:rPr>
        <w:t>ient de se pencher</w:t>
      </w:r>
      <w:r>
        <w:rPr>
          <w:rFonts w:ascii="Times New Roman" w:hAnsi="Times New Roman" w:cs="Times New Roman"/>
        </w:rPr>
        <w:t xml:space="preserve"> sur la pratique du GATT/de l’OMC en matière de règlement des différends se rapportant à</w:t>
      </w:r>
      <w:r w:rsidR="00673725">
        <w:rPr>
          <w:rFonts w:ascii="Times New Roman" w:hAnsi="Times New Roman" w:cs="Times New Roman"/>
        </w:rPr>
        <w:t xml:space="preserve"> l’application de l’article </w:t>
      </w:r>
      <w:r w:rsidR="00673725" w:rsidRPr="007A29B5">
        <w:rPr>
          <w:rFonts w:ascii="Times New Roman" w:hAnsi="Times New Roman" w:cs="Times New Roman"/>
        </w:rPr>
        <w:t xml:space="preserve">XX </w:t>
      </w:r>
      <w:r w:rsidRPr="007A29B5">
        <w:rPr>
          <w:rFonts w:ascii="Times New Roman" w:hAnsi="Times New Roman" w:cs="Times New Roman"/>
        </w:rPr>
        <w:t>et plus particulièrement sur les mesures environnem</w:t>
      </w:r>
      <w:r w:rsidR="004C6A89" w:rsidRPr="007A29B5">
        <w:rPr>
          <w:rFonts w:ascii="Times New Roman" w:hAnsi="Times New Roman" w:cs="Times New Roman"/>
        </w:rPr>
        <w:t>entales. Pour ce faire, il faut</w:t>
      </w:r>
      <w:r w:rsidRPr="007A29B5">
        <w:rPr>
          <w:rFonts w:ascii="Times New Roman" w:hAnsi="Times New Roman" w:cs="Times New Roman"/>
        </w:rPr>
        <w:t xml:space="preserve"> examiner les paragraphes </w:t>
      </w:r>
      <w:r w:rsidRPr="007A29B5">
        <w:rPr>
          <w:rFonts w:ascii="Times New Roman" w:hAnsi="Times New Roman" w:cs="Times New Roman"/>
          <w:i/>
        </w:rPr>
        <w:t>b)</w:t>
      </w:r>
      <w:r w:rsidRPr="007A29B5">
        <w:rPr>
          <w:rFonts w:ascii="Times New Roman" w:hAnsi="Times New Roman" w:cs="Times New Roman"/>
        </w:rPr>
        <w:t xml:space="preserve"> et </w:t>
      </w:r>
      <w:r w:rsidRPr="007A29B5">
        <w:rPr>
          <w:rFonts w:ascii="Times New Roman" w:hAnsi="Times New Roman" w:cs="Times New Roman"/>
          <w:i/>
        </w:rPr>
        <w:t>g)</w:t>
      </w:r>
      <w:r w:rsidRPr="007A29B5">
        <w:rPr>
          <w:rFonts w:ascii="Times New Roman" w:hAnsi="Times New Roman" w:cs="Times New Roman"/>
        </w:rPr>
        <w:t xml:space="preserve"> de l’article XX de l’Accord général, qui sont les deux exceptions généralement</w:t>
      </w:r>
      <w:r>
        <w:rPr>
          <w:rFonts w:ascii="Times New Roman" w:hAnsi="Times New Roman" w:cs="Times New Roman"/>
        </w:rPr>
        <w:t xml:space="preserve"> invoquées dans les différends sur l</w:t>
      </w:r>
      <w:r w:rsidR="00904F6B">
        <w:rPr>
          <w:rFonts w:ascii="Times New Roman" w:hAnsi="Times New Roman" w:cs="Times New Roman"/>
        </w:rPr>
        <w:t xml:space="preserve">es questions environnementales. </w:t>
      </w:r>
      <w:r w:rsidR="00904F6B" w:rsidRPr="000168E7">
        <w:rPr>
          <w:rFonts w:ascii="Times New Roman" w:hAnsi="Times New Roman" w:cs="Times New Roman"/>
        </w:rPr>
        <w:t>C</w:t>
      </w:r>
      <w:r w:rsidRPr="000168E7">
        <w:rPr>
          <w:rFonts w:ascii="Times New Roman" w:hAnsi="Times New Roman" w:cs="Times New Roman"/>
        </w:rPr>
        <w:t>ette expression</w:t>
      </w:r>
      <w:r>
        <w:rPr>
          <w:rFonts w:ascii="Times New Roman" w:hAnsi="Times New Roman" w:cs="Times New Roman"/>
        </w:rPr>
        <w:t xml:space="preserve"> doit être comprise dans un sens large, en ce sens qu’elle englobe non seulement les différends qui se rapportent à la protection de d’environnement en tant que telle mais également à la protection de la santé humaine</w:t>
      </w:r>
      <w:r>
        <w:rPr>
          <w:rStyle w:val="Marquenotebasdepage"/>
          <w:rFonts w:ascii="Times New Roman" w:hAnsi="Times New Roman" w:cs="Times New Roman"/>
        </w:rPr>
        <w:footnoteReference w:id="165"/>
      </w:r>
      <w:r>
        <w:rPr>
          <w:rFonts w:ascii="Times New Roman" w:hAnsi="Times New Roman" w:cs="Times New Roman"/>
        </w:rPr>
        <w:t>.</w:t>
      </w:r>
    </w:p>
    <w:p w14:paraId="2048B46E" w14:textId="77777777" w:rsidR="008953AA" w:rsidRPr="00EF711A" w:rsidRDefault="008953AA" w:rsidP="008953AA">
      <w:pPr>
        <w:widowControl w:val="0"/>
        <w:autoSpaceDE w:val="0"/>
        <w:autoSpaceDN w:val="0"/>
        <w:adjustRightInd w:val="0"/>
        <w:spacing w:line="360" w:lineRule="auto"/>
        <w:jc w:val="both"/>
        <w:rPr>
          <w:rFonts w:ascii="Times New Roman" w:hAnsi="Times New Roman" w:cs="Times New Roman"/>
          <w:u w:val="single"/>
        </w:rPr>
      </w:pPr>
    </w:p>
    <w:p w14:paraId="203E9949" w14:textId="77777777" w:rsidR="008953AA" w:rsidRPr="005779EE" w:rsidRDefault="008953AA" w:rsidP="00EB2BB9">
      <w:pPr>
        <w:widowControl w:val="0"/>
        <w:autoSpaceDE w:val="0"/>
        <w:autoSpaceDN w:val="0"/>
        <w:adjustRightInd w:val="0"/>
        <w:spacing w:line="360" w:lineRule="auto"/>
        <w:jc w:val="both"/>
        <w:rPr>
          <w:rFonts w:ascii="Times New Roman" w:hAnsi="Times New Roman" w:cs="Times New Roman"/>
          <w:i/>
        </w:rPr>
      </w:pPr>
      <w:r w:rsidRPr="00EF711A">
        <w:rPr>
          <w:rFonts w:ascii="Times New Roman" w:hAnsi="Times New Roman" w:cs="Times New Roman"/>
        </w:rPr>
        <w:t>L</w:t>
      </w:r>
      <w:r>
        <w:rPr>
          <w:rFonts w:ascii="Times New Roman" w:hAnsi="Times New Roman" w:cs="Times New Roman"/>
        </w:rPr>
        <w:t>e texte pertinent de l</w:t>
      </w:r>
      <w:r w:rsidRPr="00EF711A">
        <w:rPr>
          <w:rFonts w:ascii="Times New Roman" w:hAnsi="Times New Roman" w:cs="Times New Roman"/>
        </w:rPr>
        <w:t>’article XX du GATT</w:t>
      </w:r>
      <w:r>
        <w:rPr>
          <w:rFonts w:ascii="Times New Roman" w:hAnsi="Times New Roman" w:cs="Times New Roman"/>
        </w:rPr>
        <w:t xml:space="preserve"> de 1994 est libellé comme suit</w:t>
      </w:r>
      <w:r w:rsidRPr="00EF711A">
        <w:rPr>
          <w:rFonts w:ascii="Times New Roman" w:hAnsi="Times New Roman" w:cs="Times New Roman"/>
        </w:rPr>
        <w:t xml:space="preserve"> : </w:t>
      </w:r>
      <w:r w:rsidRPr="005779EE">
        <w:rPr>
          <w:rFonts w:ascii="Times New Roman" w:hAnsi="Times New Roman" w:cs="Times New Roman"/>
          <w:i/>
        </w:rPr>
        <w:t>« Sous réserve que ces mesures ne soient pas appliquées de façon à constituer soit un moyen de discrimination arbitraire ou injustifiable entre les pays où les mêmes conditions existent, soit une restriction déguisée au commerce international, rien dans le présent Accord [le GATT] ne sera interprété comme empêchant l'adoption ou l'application par toute partie contractante des mesures:</w:t>
      </w:r>
    </w:p>
    <w:p w14:paraId="1C8B3746" w14:textId="77777777" w:rsidR="008953AA" w:rsidRPr="005779EE" w:rsidRDefault="008953AA" w:rsidP="008953AA">
      <w:pPr>
        <w:widowControl w:val="0"/>
        <w:autoSpaceDE w:val="0"/>
        <w:autoSpaceDN w:val="0"/>
        <w:adjustRightInd w:val="0"/>
        <w:spacing w:line="360" w:lineRule="auto"/>
        <w:jc w:val="both"/>
        <w:rPr>
          <w:rFonts w:ascii="Times New Roman" w:hAnsi="Times New Roman" w:cs="Times New Roman"/>
          <w:i/>
        </w:rPr>
      </w:pPr>
      <w:r w:rsidRPr="005779EE">
        <w:rPr>
          <w:rFonts w:ascii="Times New Roman" w:hAnsi="Times New Roman" w:cs="Times New Roman"/>
          <w:i/>
        </w:rPr>
        <w:t>b) nécessaires à la protection de la santé et de la vie des personnes et des animaux ou à la préservation des végétaux;</w:t>
      </w:r>
    </w:p>
    <w:p w14:paraId="23D44349" w14:textId="77777777" w:rsidR="008953AA" w:rsidRPr="005779EE" w:rsidRDefault="008953AA" w:rsidP="008953AA">
      <w:pPr>
        <w:widowControl w:val="0"/>
        <w:autoSpaceDE w:val="0"/>
        <w:autoSpaceDN w:val="0"/>
        <w:adjustRightInd w:val="0"/>
        <w:spacing w:line="360" w:lineRule="auto"/>
        <w:jc w:val="both"/>
        <w:rPr>
          <w:rFonts w:ascii="Times New Roman" w:hAnsi="Times New Roman" w:cs="Times New Roman"/>
          <w:i/>
        </w:rPr>
      </w:pPr>
      <w:r w:rsidRPr="005779EE">
        <w:rPr>
          <w:rFonts w:ascii="Times New Roman" w:hAnsi="Times New Roman" w:cs="Times New Roman"/>
          <w:i/>
        </w:rPr>
        <w:t>g) se rapportant à la conservation des ressources naturelles épuisables, si de telles mesures sont appliquées conjointement avec des restrictions à la production ou à la consommation nationales. ... »</w:t>
      </w:r>
      <w:r>
        <w:rPr>
          <w:rStyle w:val="Marquenotebasdepage"/>
          <w:rFonts w:ascii="Times New Roman" w:hAnsi="Times New Roman" w:cs="Times New Roman"/>
          <w:i/>
        </w:rPr>
        <w:footnoteReference w:id="166"/>
      </w:r>
    </w:p>
    <w:p w14:paraId="21260C9B" w14:textId="77777777" w:rsidR="008953AA" w:rsidRDefault="008953AA" w:rsidP="008953AA">
      <w:pPr>
        <w:widowControl w:val="0"/>
        <w:autoSpaceDE w:val="0"/>
        <w:autoSpaceDN w:val="0"/>
        <w:adjustRightInd w:val="0"/>
        <w:spacing w:line="360" w:lineRule="auto"/>
        <w:jc w:val="both"/>
        <w:rPr>
          <w:rFonts w:ascii="Times" w:hAnsi="Times" w:cs="Times"/>
        </w:rPr>
      </w:pPr>
    </w:p>
    <w:p w14:paraId="60D91665" w14:textId="0513F458" w:rsidR="008953AA" w:rsidRDefault="008953AA" w:rsidP="00EB2BB9">
      <w:pPr>
        <w:widowControl w:val="0"/>
        <w:autoSpaceDE w:val="0"/>
        <w:autoSpaceDN w:val="0"/>
        <w:adjustRightInd w:val="0"/>
        <w:spacing w:line="360" w:lineRule="auto"/>
        <w:jc w:val="both"/>
        <w:rPr>
          <w:rFonts w:ascii="Times New Roman" w:hAnsi="Times New Roman" w:cs="Times New Roman"/>
        </w:rPr>
      </w:pPr>
      <w:r w:rsidRPr="008D2D6C">
        <w:rPr>
          <w:rFonts w:ascii="Times New Roman" w:hAnsi="Times New Roman" w:cs="Times New Roman"/>
        </w:rPr>
        <w:t>Ainsi, l’article XX du GATT relatif aux exceptions générales prévoit un certain nombre de cas particuliers dans lesquels les Membres de l’OMC peuvent être exemptés des règles du GATT</w:t>
      </w:r>
      <w:r>
        <w:rPr>
          <w:rStyle w:val="Marquenotebasdepage"/>
          <w:rFonts w:ascii="Times New Roman" w:hAnsi="Times New Roman" w:cs="Times New Roman"/>
        </w:rPr>
        <w:footnoteReference w:id="167"/>
      </w:r>
      <w:r w:rsidRPr="008D2D6C">
        <w:rPr>
          <w:rFonts w:ascii="Times New Roman" w:hAnsi="Times New Roman" w:cs="Times New Roman"/>
        </w:rPr>
        <w:t xml:space="preserve">. </w:t>
      </w:r>
      <w:r>
        <w:rPr>
          <w:rFonts w:ascii="Times New Roman" w:hAnsi="Times New Roman" w:cs="Times New Roman"/>
        </w:rPr>
        <w:t>En effet, e</w:t>
      </w:r>
      <w:r w:rsidRPr="008D2D6C">
        <w:rPr>
          <w:rFonts w:ascii="Times New Roman" w:hAnsi="Times New Roman" w:cs="Times New Roman"/>
        </w:rPr>
        <w:t xml:space="preserve">n vertu des paragraphes </w:t>
      </w:r>
      <w:r w:rsidRPr="00B90EC0">
        <w:rPr>
          <w:rFonts w:ascii="Times New Roman" w:hAnsi="Times New Roman" w:cs="Times New Roman"/>
          <w:i/>
        </w:rPr>
        <w:t>b)</w:t>
      </w:r>
      <w:r w:rsidRPr="008D2D6C">
        <w:rPr>
          <w:rFonts w:ascii="Times New Roman" w:hAnsi="Times New Roman" w:cs="Times New Roman"/>
        </w:rPr>
        <w:t xml:space="preserve"> et </w:t>
      </w:r>
      <w:r w:rsidRPr="00B90EC0">
        <w:rPr>
          <w:rFonts w:ascii="Times New Roman" w:hAnsi="Times New Roman" w:cs="Times New Roman"/>
          <w:i/>
        </w:rPr>
        <w:t>g)</w:t>
      </w:r>
      <w:r w:rsidRPr="008D2D6C">
        <w:rPr>
          <w:rFonts w:ascii="Times New Roman" w:hAnsi="Times New Roman" w:cs="Times New Roman"/>
        </w:rPr>
        <w:t xml:space="preserve"> de l’article XX du GATT, qui constitue</w:t>
      </w:r>
      <w:r w:rsidR="007E71E6">
        <w:rPr>
          <w:rFonts w:ascii="Times New Roman" w:hAnsi="Times New Roman" w:cs="Times New Roman"/>
        </w:rPr>
        <w:t>nt</w:t>
      </w:r>
      <w:r w:rsidRPr="008D2D6C">
        <w:rPr>
          <w:rFonts w:ascii="Times New Roman" w:hAnsi="Times New Roman" w:cs="Times New Roman"/>
        </w:rPr>
        <w:t xml:space="preserve"> deux exceptions se rapportant à la protection de l’environnement, les Membres de l’OMC sont autorisés à adopter des mesures incompatibles avec les règles du GATT </w:t>
      </w:r>
      <w:r>
        <w:rPr>
          <w:rFonts w:ascii="Times New Roman" w:hAnsi="Times New Roman" w:cs="Times New Roman"/>
        </w:rPr>
        <w:t xml:space="preserve">mais qui se révèlent </w:t>
      </w:r>
      <w:r w:rsidRPr="008D2D6C">
        <w:rPr>
          <w:rFonts w:ascii="Times New Roman" w:hAnsi="Times New Roman" w:cs="Times New Roman"/>
        </w:rPr>
        <w:t xml:space="preserve">nécessaires à la protection de la santé et de la vie des personnes et des animaux ou à la préservation </w:t>
      </w:r>
      <w:r>
        <w:rPr>
          <w:rFonts w:ascii="Times New Roman" w:hAnsi="Times New Roman" w:cs="Times New Roman"/>
        </w:rPr>
        <w:t xml:space="preserve">des végétaux (paragraphe </w:t>
      </w:r>
      <w:r w:rsidRPr="00B90EC0">
        <w:rPr>
          <w:rFonts w:ascii="Times New Roman" w:hAnsi="Times New Roman" w:cs="Times New Roman"/>
          <w:i/>
        </w:rPr>
        <w:t>b)</w:t>
      </w:r>
      <w:r>
        <w:rPr>
          <w:rFonts w:ascii="Times New Roman" w:hAnsi="Times New Roman" w:cs="Times New Roman"/>
        </w:rPr>
        <w:t xml:space="preserve">), ou qui se </w:t>
      </w:r>
      <w:r w:rsidRPr="008D2D6C">
        <w:rPr>
          <w:rFonts w:ascii="Times New Roman" w:hAnsi="Times New Roman" w:cs="Times New Roman"/>
        </w:rPr>
        <w:t>rapportent à la conservation des re</w:t>
      </w:r>
      <w:r>
        <w:rPr>
          <w:rFonts w:ascii="Times New Roman" w:hAnsi="Times New Roman" w:cs="Times New Roman"/>
        </w:rPr>
        <w:t xml:space="preserve">ssources naturelles épuisables (paragraphe </w:t>
      </w:r>
      <w:r w:rsidRPr="00B90EC0">
        <w:rPr>
          <w:rFonts w:ascii="Times New Roman" w:hAnsi="Times New Roman" w:cs="Times New Roman"/>
          <w:i/>
        </w:rPr>
        <w:t>g)</w:t>
      </w:r>
      <w:r>
        <w:rPr>
          <w:rFonts w:ascii="Times New Roman" w:hAnsi="Times New Roman" w:cs="Times New Roman"/>
        </w:rPr>
        <w:t>)</w:t>
      </w:r>
      <w:r w:rsidR="00487557">
        <w:rPr>
          <w:rStyle w:val="Marquenotebasdepage"/>
          <w:rFonts w:ascii="Times New Roman" w:hAnsi="Times New Roman" w:cs="Times New Roman"/>
        </w:rPr>
        <w:footnoteReference w:id="168"/>
      </w:r>
      <w:r>
        <w:rPr>
          <w:rFonts w:ascii="Times New Roman" w:hAnsi="Times New Roman" w:cs="Times New Roman"/>
        </w:rPr>
        <w:t>.</w:t>
      </w:r>
    </w:p>
    <w:p w14:paraId="43AEAB24" w14:textId="77777777" w:rsidR="003C701C" w:rsidRDefault="003C701C" w:rsidP="00C03488">
      <w:pPr>
        <w:widowControl w:val="0"/>
        <w:autoSpaceDE w:val="0"/>
        <w:autoSpaceDN w:val="0"/>
        <w:adjustRightInd w:val="0"/>
        <w:spacing w:line="360" w:lineRule="auto"/>
        <w:ind w:firstLine="708"/>
        <w:jc w:val="both"/>
        <w:rPr>
          <w:rFonts w:ascii="Times New Roman" w:hAnsi="Times New Roman" w:cs="Times New Roman"/>
        </w:rPr>
      </w:pPr>
    </w:p>
    <w:p w14:paraId="55588598" w14:textId="33AE4095" w:rsidR="00FF4D4A" w:rsidRPr="004C6A89" w:rsidRDefault="008953AA" w:rsidP="00EB2BB9">
      <w:pPr>
        <w:widowControl w:val="0"/>
        <w:autoSpaceDE w:val="0"/>
        <w:autoSpaceDN w:val="0"/>
        <w:adjustRightInd w:val="0"/>
        <w:spacing w:line="360" w:lineRule="auto"/>
        <w:jc w:val="both"/>
        <w:rPr>
          <w:rFonts w:ascii="Times New Roman" w:hAnsi="Times New Roman" w:cs="Times New Roman"/>
        </w:rPr>
      </w:pPr>
      <w:r w:rsidRPr="008D7589">
        <w:rPr>
          <w:rFonts w:ascii="Times New Roman" w:hAnsi="Times New Roman" w:cs="Times New Roman"/>
        </w:rPr>
        <w:t>Afin qu’une mesure environnementale incompatible avec le GATT se justifie au titre de l’article XX, le Membre de l’OMC en cause doit procéder à une double analyse</w:t>
      </w:r>
      <w:r w:rsidRPr="008D7589">
        <w:rPr>
          <w:rStyle w:val="Marquenotebasdepage"/>
          <w:rFonts w:ascii="Times New Roman" w:hAnsi="Times New Roman" w:cs="Times New Roman"/>
        </w:rPr>
        <w:footnoteReference w:id="169"/>
      </w:r>
      <w:r w:rsidRPr="008D7589">
        <w:rPr>
          <w:rFonts w:ascii="Times New Roman" w:hAnsi="Times New Roman" w:cs="Times New Roman"/>
        </w:rPr>
        <w:t xml:space="preserve"> qui tend à prouver, en premier lieu, que sa mesure relève de l’une des exceptions situées aux paragraphes </w:t>
      </w:r>
      <w:r w:rsidRPr="008D7589">
        <w:rPr>
          <w:rFonts w:ascii="Times New Roman" w:hAnsi="Times New Roman" w:cs="Times New Roman"/>
          <w:i/>
        </w:rPr>
        <w:t xml:space="preserve">b) </w:t>
      </w:r>
      <w:r w:rsidRPr="008D7589">
        <w:rPr>
          <w:rFonts w:ascii="Times New Roman" w:hAnsi="Times New Roman" w:cs="Times New Roman"/>
        </w:rPr>
        <w:t xml:space="preserve">ou </w:t>
      </w:r>
      <w:r w:rsidRPr="008D7589">
        <w:rPr>
          <w:rFonts w:ascii="Times New Roman" w:hAnsi="Times New Roman" w:cs="Times New Roman"/>
          <w:i/>
        </w:rPr>
        <w:t>g)</w:t>
      </w:r>
      <w:r w:rsidR="003C701C" w:rsidRPr="008D7589">
        <w:rPr>
          <w:rStyle w:val="Marquenotebasdepage"/>
          <w:rFonts w:ascii="Times New Roman" w:hAnsi="Times New Roman" w:cs="Times New Roman"/>
          <w:i/>
        </w:rPr>
        <w:footnoteReference w:id="170"/>
      </w:r>
      <w:r w:rsidRPr="008D7589">
        <w:rPr>
          <w:rFonts w:ascii="Times New Roman" w:hAnsi="Times New Roman" w:cs="Times New Roman"/>
        </w:rPr>
        <w:t>, qui représentent deux des dix exceptions prévues à l’article XX et en second lieu, qu’elle satisfait aux prescriptions du chapeau de l’article XX</w:t>
      </w:r>
      <w:r w:rsidR="00487557" w:rsidRPr="008D7589">
        <w:rPr>
          <w:rStyle w:val="Marquenotebasdepage"/>
          <w:rFonts w:ascii="Times New Roman" w:hAnsi="Times New Roman" w:cs="Times New Roman"/>
        </w:rPr>
        <w:footnoteReference w:id="171"/>
      </w:r>
      <w:r w:rsidRPr="008D7589">
        <w:rPr>
          <w:rFonts w:ascii="Times New Roman" w:hAnsi="Times New Roman" w:cs="Times New Roman"/>
        </w:rPr>
        <w:t>, à savoir qu’elle n’est pas appliquée de manière à constituer « un moyen de discrimination arbitraire ou injustifiable entre les pays où les mêmes conditions existent » et qu’elle n’est pas « une restriction déguisée au commerce international »</w:t>
      </w:r>
      <w:r w:rsidRPr="008D7589">
        <w:rPr>
          <w:rStyle w:val="Marquenotebasdepage"/>
          <w:rFonts w:ascii="Times New Roman" w:hAnsi="Times New Roman" w:cs="Times New Roman"/>
        </w:rPr>
        <w:footnoteReference w:id="172"/>
      </w:r>
      <w:r w:rsidRPr="008D7589">
        <w:rPr>
          <w:rFonts w:ascii="Times New Roman" w:hAnsi="Times New Roman" w:cs="Times New Roman"/>
        </w:rPr>
        <w:t>.</w:t>
      </w:r>
      <w:r w:rsidR="00A23AEC">
        <w:rPr>
          <w:rFonts w:ascii="Times New Roman" w:hAnsi="Times New Roman" w:cs="Times New Roman"/>
        </w:rPr>
        <w:t xml:space="preserve"> </w:t>
      </w:r>
    </w:p>
    <w:p w14:paraId="400A0218" w14:textId="77777777" w:rsidR="008953AA" w:rsidRDefault="008953AA"/>
    <w:p w14:paraId="34EB7964" w14:textId="414B7DBE" w:rsidR="00675EED" w:rsidRPr="005C2B20" w:rsidRDefault="00675EED" w:rsidP="00EB2BB9">
      <w:pPr>
        <w:widowControl w:val="0"/>
        <w:autoSpaceDE w:val="0"/>
        <w:autoSpaceDN w:val="0"/>
        <w:adjustRightInd w:val="0"/>
        <w:spacing w:line="360" w:lineRule="auto"/>
        <w:jc w:val="both"/>
        <w:rPr>
          <w:rFonts w:ascii="Times New Roman" w:hAnsi="Times New Roman" w:cs="Times New Roman"/>
          <w:b/>
        </w:rPr>
      </w:pPr>
      <w:r>
        <w:rPr>
          <w:rFonts w:ascii="Times New Roman" w:hAnsi="Times New Roman" w:cs="Times New Roman"/>
        </w:rPr>
        <w:t>D’emblée, i</w:t>
      </w:r>
      <w:r w:rsidRPr="00CA5222">
        <w:rPr>
          <w:rFonts w:ascii="Times New Roman" w:hAnsi="Times New Roman" w:cs="Times New Roman"/>
        </w:rPr>
        <w:t xml:space="preserve">l semble important de souligner qu’aucun des Groupes spéciaux n’a contesté les choix de politique environnementale qui sous-tendent les mesures en cause. Dans l’affaire </w:t>
      </w:r>
      <w:r w:rsidRPr="00264DAF">
        <w:rPr>
          <w:rFonts w:ascii="Times New Roman" w:hAnsi="Times New Roman" w:cs="Times New Roman"/>
          <w:i/>
        </w:rPr>
        <w:t>Essence</w:t>
      </w:r>
      <w:r>
        <w:rPr>
          <w:rStyle w:val="Marquenotebasdepage"/>
          <w:rFonts w:ascii="Times New Roman" w:hAnsi="Times New Roman" w:cs="Times New Roman"/>
          <w:i/>
        </w:rPr>
        <w:footnoteReference w:id="173"/>
      </w:r>
      <w:r>
        <w:rPr>
          <w:rFonts w:ascii="Times New Roman" w:hAnsi="Times New Roman" w:cs="Times New Roman"/>
        </w:rPr>
        <w:t xml:space="preserve">, le Groupe spécial a ainsi </w:t>
      </w:r>
      <w:r w:rsidRPr="00CA5222">
        <w:rPr>
          <w:rFonts w:ascii="Times New Roman" w:hAnsi="Times New Roman" w:cs="Times New Roman"/>
        </w:rPr>
        <w:t>énoncé que </w:t>
      </w:r>
      <w:r w:rsidRPr="00A64A3B">
        <w:rPr>
          <w:rFonts w:ascii="Times New Roman" w:hAnsi="Times New Roman" w:cs="Times New Roman"/>
          <w:i/>
        </w:rPr>
        <w:t>: « sa tâche ne consistait pas à examiner d’une façon générale l’opportunité ou la nécessité des objectifs écologiques de la Loi sur la lutte contre la pollution atmosphérique ou de la Réglementation sur l’essence. Il s’était borné à examiner les aspects de la Réglementation sur l’essence que les plaignants avaient contestés au regard des dispositions spécifiques de l’Accord général. Conformément à l’Accord général, les Membres de l’OMC étaient libres d’établir leur propres objectifs écologiques mais ils étaient tenus de chercher à les atteindre par le biais de mesures compatibles avec les dispositions de l’Accord, notamment celles qui concernaient le traitement relatif des produits nationaux et des produits importés »</w:t>
      </w:r>
      <w:r>
        <w:rPr>
          <w:rStyle w:val="Marquenotebasdepage"/>
          <w:rFonts w:ascii="Times New Roman" w:hAnsi="Times New Roman" w:cs="Times New Roman"/>
        </w:rPr>
        <w:footnoteReference w:id="174"/>
      </w:r>
      <w:r w:rsidRPr="00CA5222">
        <w:rPr>
          <w:rFonts w:ascii="Times New Roman" w:hAnsi="Times New Roman" w:cs="Times New Roman"/>
        </w:rPr>
        <w:t>.</w:t>
      </w:r>
      <w:r>
        <w:rPr>
          <w:rFonts w:ascii="Times New Roman" w:hAnsi="Times New Roman" w:cs="Times New Roman"/>
        </w:rPr>
        <w:t xml:space="preserve"> </w:t>
      </w:r>
      <w:r>
        <w:rPr>
          <w:rFonts w:ascii="Times New Roman" w:hAnsi="Times New Roman"/>
        </w:rPr>
        <w:t xml:space="preserve">Il convient de faire un parallèle avec l’affaire </w:t>
      </w:r>
      <w:r w:rsidRPr="002E2E36">
        <w:rPr>
          <w:rFonts w:ascii="Times New Roman" w:hAnsi="Times New Roman"/>
          <w:i/>
        </w:rPr>
        <w:t>Saumons/Harengs</w:t>
      </w:r>
      <w:r>
        <w:rPr>
          <w:rStyle w:val="Marquenotebasdepage"/>
          <w:rFonts w:ascii="Times New Roman" w:hAnsi="Times New Roman"/>
        </w:rPr>
        <w:footnoteReference w:id="175"/>
      </w:r>
      <w:r>
        <w:rPr>
          <w:rFonts w:ascii="Times New Roman" w:hAnsi="Times New Roman"/>
        </w:rPr>
        <w:t xml:space="preserve">, </w:t>
      </w:r>
      <w:r w:rsidRPr="00BF4CF8">
        <w:rPr>
          <w:rFonts w:ascii="Times New Roman" w:hAnsi="Times New Roman"/>
          <w:i/>
        </w:rPr>
        <w:t>Crevettes</w:t>
      </w:r>
      <w:r>
        <w:rPr>
          <w:rStyle w:val="Marquenotebasdepage"/>
          <w:rFonts w:ascii="Times New Roman" w:hAnsi="Times New Roman"/>
        </w:rPr>
        <w:footnoteReference w:id="176"/>
      </w:r>
      <w:r>
        <w:rPr>
          <w:rFonts w:ascii="Times New Roman" w:hAnsi="Times New Roman"/>
        </w:rPr>
        <w:t xml:space="preserve">, et </w:t>
      </w:r>
      <w:r w:rsidRPr="00BF4CF8">
        <w:rPr>
          <w:rFonts w:ascii="Times New Roman" w:hAnsi="Times New Roman"/>
          <w:i/>
        </w:rPr>
        <w:t>Thon I</w:t>
      </w:r>
      <w:r>
        <w:rPr>
          <w:rStyle w:val="Marquenotebasdepage"/>
          <w:rFonts w:ascii="Times New Roman" w:hAnsi="Times New Roman"/>
        </w:rPr>
        <w:footnoteReference w:id="177"/>
      </w:r>
      <w:r>
        <w:rPr>
          <w:rFonts w:ascii="Times New Roman" w:hAnsi="Times New Roman"/>
        </w:rPr>
        <w:t xml:space="preserve"> et </w:t>
      </w:r>
      <w:r w:rsidRPr="00BF4CF8">
        <w:rPr>
          <w:rFonts w:ascii="Times New Roman" w:hAnsi="Times New Roman"/>
          <w:i/>
        </w:rPr>
        <w:t>II</w:t>
      </w:r>
      <w:r>
        <w:rPr>
          <w:rStyle w:val="Marquenotebasdepage"/>
          <w:rFonts w:ascii="Times New Roman" w:hAnsi="Times New Roman"/>
        </w:rPr>
        <w:footnoteReference w:id="178"/>
      </w:r>
      <w:r w:rsidR="007E71E6">
        <w:rPr>
          <w:rFonts w:ascii="Times New Roman" w:hAnsi="Times New Roman"/>
        </w:rPr>
        <w:t xml:space="preserve">. En effet, dans ces </w:t>
      </w:r>
      <w:r>
        <w:rPr>
          <w:rFonts w:ascii="Times New Roman" w:hAnsi="Times New Roman"/>
        </w:rPr>
        <w:t xml:space="preserve">affaires, </w:t>
      </w:r>
      <w:r>
        <w:rPr>
          <w:rFonts w:ascii="Times New Roman" w:hAnsi="Times New Roman" w:cs="Times New Roman"/>
        </w:rPr>
        <w:t xml:space="preserve">le Groupe spécial a ainsi soigneusement évité de contester les choix politiques touchant à l’environnement, </w:t>
      </w:r>
      <w:r w:rsidR="007E71E6">
        <w:rPr>
          <w:rFonts w:ascii="Times New Roman" w:hAnsi="Times New Roman"/>
        </w:rPr>
        <w:t xml:space="preserve">laissant </w:t>
      </w:r>
      <w:r>
        <w:rPr>
          <w:rFonts w:ascii="Times New Roman" w:hAnsi="Times New Roman"/>
        </w:rPr>
        <w:t xml:space="preserve">aux Membres de l’OMC la liberté de définir leurs propres objectifs écologiques </w:t>
      </w:r>
      <w:r w:rsidRPr="000168E7">
        <w:rPr>
          <w:rFonts w:ascii="Times New Roman" w:hAnsi="Times New Roman"/>
        </w:rPr>
        <w:t>dans la mesure</w:t>
      </w:r>
      <w:r w:rsidR="007A29B5" w:rsidRPr="000168E7">
        <w:rPr>
          <w:rFonts w:ascii="Times New Roman" w:hAnsi="Times New Roman"/>
        </w:rPr>
        <w:t xml:space="preserve"> </w:t>
      </w:r>
      <w:r w:rsidRPr="000168E7">
        <w:rPr>
          <w:rFonts w:ascii="Times New Roman" w:hAnsi="Times New Roman"/>
        </w:rPr>
        <w:t>où</w:t>
      </w:r>
      <w:r>
        <w:rPr>
          <w:rFonts w:ascii="Times New Roman" w:hAnsi="Times New Roman"/>
        </w:rPr>
        <w:t xml:space="preserve"> ils les atteignaient au moyen de mesures qui soient compatibles avec les dispositions de l’Accord général</w:t>
      </w:r>
      <w:r>
        <w:rPr>
          <w:rStyle w:val="Marquenotebasdepage"/>
          <w:rFonts w:ascii="Times New Roman" w:hAnsi="Times New Roman"/>
        </w:rPr>
        <w:footnoteReference w:id="179"/>
      </w:r>
      <w:r>
        <w:rPr>
          <w:rFonts w:ascii="Times New Roman" w:hAnsi="Times New Roman"/>
        </w:rPr>
        <w:t>.</w:t>
      </w:r>
    </w:p>
    <w:p w14:paraId="489CCC24" w14:textId="77777777" w:rsidR="00675EED" w:rsidRDefault="00675EED" w:rsidP="00675EED">
      <w:pPr>
        <w:tabs>
          <w:tab w:val="left" w:pos="7720"/>
        </w:tabs>
        <w:spacing w:line="360" w:lineRule="auto"/>
        <w:jc w:val="both"/>
        <w:rPr>
          <w:rFonts w:ascii="Times New Roman" w:hAnsi="Times New Roman" w:cs="Times New Roman"/>
        </w:rPr>
      </w:pPr>
    </w:p>
    <w:p w14:paraId="369C4FFC" w14:textId="6855714A" w:rsidR="00675EED" w:rsidRPr="00675EED" w:rsidRDefault="00675EED" w:rsidP="00675EED">
      <w:pPr>
        <w:tabs>
          <w:tab w:val="left" w:pos="7720"/>
        </w:tabs>
        <w:spacing w:line="360" w:lineRule="auto"/>
        <w:jc w:val="both"/>
        <w:rPr>
          <w:rFonts w:ascii="Times New Roman" w:hAnsi="Times New Roman" w:cs="Times New Roman"/>
          <w:b/>
        </w:rPr>
      </w:pPr>
      <w:r w:rsidRPr="002E2E36">
        <w:rPr>
          <w:rFonts w:ascii="Times New Roman" w:hAnsi="Times New Roman" w:cs="Times New Roman"/>
          <w:b/>
        </w:rPr>
        <w:t>II. Application de l’article XX</w:t>
      </w:r>
    </w:p>
    <w:p w14:paraId="3CD1835F" w14:textId="77777777" w:rsidR="0052410F" w:rsidRPr="000D5EB1" w:rsidRDefault="0052410F" w:rsidP="0052410F">
      <w:pPr>
        <w:pStyle w:val="Paragraphedeliste"/>
        <w:numPr>
          <w:ilvl w:val="0"/>
          <w:numId w:val="3"/>
        </w:numPr>
        <w:tabs>
          <w:tab w:val="left" w:pos="7720"/>
        </w:tabs>
        <w:spacing w:line="360" w:lineRule="auto"/>
        <w:jc w:val="both"/>
        <w:rPr>
          <w:rFonts w:ascii="Times New Roman" w:hAnsi="Times New Roman" w:cs="Times New Roman"/>
          <w:b/>
        </w:rPr>
      </w:pPr>
      <w:r w:rsidRPr="000D5EB1">
        <w:rPr>
          <w:rFonts w:ascii="Times New Roman" w:hAnsi="Times New Roman" w:cs="Times New Roman"/>
          <w:b/>
        </w:rPr>
        <w:t>Rapport entre l’article XX et d’autres dispositions du GATT</w:t>
      </w:r>
    </w:p>
    <w:p w14:paraId="4CA9A376" w14:textId="411E90FF" w:rsidR="0052410F" w:rsidRDefault="0052410F" w:rsidP="0052410F">
      <w:pPr>
        <w:tabs>
          <w:tab w:val="left" w:pos="7720"/>
        </w:tabs>
        <w:spacing w:line="360" w:lineRule="auto"/>
        <w:jc w:val="both"/>
        <w:rPr>
          <w:rFonts w:ascii="Times New Roman" w:hAnsi="Times New Roman" w:cs="Times New Roman"/>
        </w:rPr>
      </w:pPr>
      <w:r>
        <w:rPr>
          <w:rFonts w:ascii="Times New Roman" w:hAnsi="Times New Roman" w:cs="Times New Roman"/>
        </w:rPr>
        <w:t xml:space="preserve">Il ressort de la pratique en matière de règlement des différends, notamment de l’affaire </w:t>
      </w:r>
      <w:r w:rsidRPr="002E2E36">
        <w:rPr>
          <w:rFonts w:ascii="Times New Roman" w:hAnsi="Times New Roman" w:cs="Times New Roman"/>
          <w:i/>
        </w:rPr>
        <w:t>Thon I</w:t>
      </w:r>
      <w:r>
        <w:rPr>
          <w:rStyle w:val="Marquenotebasdepage"/>
          <w:rFonts w:ascii="Times New Roman" w:hAnsi="Times New Roman" w:cs="Times New Roman"/>
          <w:i/>
        </w:rPr>
        <w:footnoteReference w:id="180"/>
      </w:r>
      <w:r>
        <w:rPr>
          <w:rFonts w:ascii="Times New Roman" w:hAnsi="Times New Roman" w:cs="Times New Roman"/>
        </w:rPr>
        <w:t>, que l’article XX est</w:t>
      </w:r>
      <w:r w:rsidR="007C3833">
        <w:rPr>
          <w:rFonts w:ascii="Times New Roman" w:hAnsi="Times New Roman" w:cs="Times New Roman"/>
        </w:rPr>
        <w:t xml:space="preserve"> une exception limitée et condi</w:t>
      </w:r>
      <w:r>
        <w:rPr>
          <w:rFonts w:ascii="Times New Roman" w:hAnsi="Times New Roman" w:cs="Times New Roman"/>
        </w:rPr>
        <w:t>tionnelle aux obligations qui découlent des autres dispositions de l’Accord général</w:t>
      </w:r>
      <w:r>
        <w:rPr>
          <w:rStyle w:val="Marquenotebasdepage"/>
          <w:rFonts w:ascii="Times New Roman" w:hAnsi="Times New Roman" w:cs="Times New Roman"/>
        </w:rPr>
        <w:footnoteReference w:id="181"/>
      </w:r>
      <w:r>
        <w:rPr>
          <w:rFonts w:ascii="Times New Roman" w:hAnsi="Times New Roman" w:cs="Times New Roman"/>
        </w:rPr>
        <w:t>. De plus, elle n’établit pas d’obligations</w:t>
      </w:r>
      <w:r w:rsidR="007E71E6">
        <w:rPr>
          <w:rFonts w:ascii="Times New Roman" w:hAnsi="Times New Roman" w:cs="Times New Roman"/>
        </w:rPr>
        <w:t>,</w:t>
      </w:r>
      <w:r>
        <w:rPr>
          <w:rFonts w:ascii="Times New Roman" w:hAnsi="Times New Roman" w:cs="Times New Roman"/>
        </w:rPr>
        <w:t xml:space="preserve"> contrairement aux dispositions positives de l’Accord général</w:t>
      </w:r>
      <w:r>
        <w:rPr>
          <w:rStyle w:val="Marquenotebasdepage"/>
          <w:rFonts w:ascii="Times New Roman" w:hAnsi="Times New Roman" w:cs="Times New Roman"/>
        </w:rPr>
        <w:footnoteReference w:id="182"/>
      </w:r>
      <w:r w:rsidR="00487557">
        <w:rPr>
          <w:rFonts w:ascii="Times New Roman" w:hAnsi="Times New Roman" w:cs="Times New Roman"/>
        </w:rPr>
        <w:t>. Par conséquent, les G</w:t>
      </w:r>
      <w:r>
        <w:rPr>
          <w:rFonts w:ascii="Times New Roman" w:hAnsi="Times New Roman" w:cs="Times New Roman"/>
        </w:rPr>
        <w:t>roupes spéciaux interprètent l’article XX au sens strict</w:t>
      </w:r>
      <w:r w:rsidR="00487557">
        <w:rPr>
          <w:rStyle w:val="Marquenotebasdepage"/>
          <w:rFonts w:ascii="Times New Roman" w:hAnsi="Times New Roman" w:cs="Times New Roman"/>
        </w:rPr>
        <w:footnoteReference w:id="183"/>
      </w:r>
      <w:r>
        <w:rPr>
          <w:rFonts w:ascii="Times New Roman" w:hAnsi="Times New Roman" w:cs="Times New Roman"/>
        </w:rPr>
        <w:t xml:space="preserve">. Ainsi, dans l’affaire </w:t>
      </w:r>
      <w:r w:rsidRPr="00F0022F">
        <w:rPr>
          <w:rFonts w:ascii="Times New Roman" w:hAnsi="Times New Roman" w:cs="Times New Roman"/>
          <w:i/>
        </w:rPr>
        <w:t>Thon II</w:t>
      </w:r>
      <w:r>
        <w:rPr>
          <w:rStyle w:val="Marquenotebasdepage"/>
          <w:rFonts w:ascii="Times New Roman" w:hAnsi="Times New Roman" w:cs="Times New Roman"/>
        </w:rPr>
        <w:footnoteReference w:id="184"/>
      </w:r>
      <w:r>
        <w:rPr>
          <w:rFonts w:ascii="Times New Roman" w:hAnsi="Times New Roman" w:cs="Times New Roman"/>
        </w:rPr>
        <w:t xml:space="preserve">, le Groupe spécial a considéré qu’ils </w:t>
      </w:r>
      <w:r w:rsidRPr="00A64A3B">
        <w:rPr>
          <w:rFonts w:ascii="Times New Roman" w:hAnsi="Times New Roman" w:cs="Times New Roman"/>
          <w:i/>
        </w:rPr>
        <w:t>« avaient de longue date choisi d’interpréter cette disposition (article XX) au sens strict, d’une manière qui préserve les objectifs et principes fondamentaux de l’Accord général »</w:t>
      </w:r>
      <w:r w:rsidR="00A23AEC">
        <w:rPr>
          <w:rStyle w:val="Marquenotebasdepage"/>
          <w:rFonts w:ascii="Times New Roman" w:hAnsi="Times New Roman" w:cs="Times New Roman"/>
          <w:i/>
        </w:rPr>
        <w:footnoteReference w:id="185"/>
      </w:r>
      <w:r>
        <w:rPr>
          <w:rFonts w:ascii="Times New Roman" w:hAnsi="Times New Roman" w:cs="Times New Roman"/>
        </w:rPr>
        <w:t>.</w:t>
      </w:r>
    </w:p>
    <w:p w14:paraId="22F0B871" w14:textId="77777777" w:rsidR="0052410F" w:rsidRDefault="0052410F" w:rsidP="0052410F">
      <w:pPr>
        <w:tabs>
          <w:tab w:val="left" w:pos="7720"/>
        </w:tabs>
        <w:spacing w:line="360" w:lineRule="auto"/>
        <w:jc w:val="both"/>
        <w:rPr>
          <w:rFonts w:ascii="Times New Roman" w:hAnsi="Times New Roman" w:cs="Times New Roman"/>
        </w:rPr>
      </w:pPr>
    </w:p>
    <w:p w14:paraId="6A908B62" w14:textId="764B5F1B" w:rsidR="00CD6275" w:rsidRPr="00CD6275" w:rsidRDefault="00CD6275" w:rsidP="00CD6275">
      <w:pPr>
        <w:pStyle w:val="Paragraphedeliste"/>
        <w:numPr>
          <w:ilvl w:val="0"/>
          <w:numId w:val="3"/>
        </w:numPr>
        <w:tabs>
          <w:tab w:val="left" w:pos="7720"/>
        </w:tabs>
        <w:spacing w:line="360" w:lineRule="auto"/>
        <w:jc w:val="both"/>
        <w:rPr>
          <w:rFonts w:ascii="Times New Roman" w:hAnsi="Times New Roman" w:cs="Times New Roman"/>
          <w:b/>
        </w:rPr>
      </w:pPr>
      <w:r w:rsidRPr="00CD6275">
        <w:rPr>
          <w:rFonts w:ascii="Times New Roman" w:hAnsi="Times New Roman" w:cs="Times New Roman"/>
          <w:b/>
        </w:rPr>
        <w:t xml:space="preserve">Charge de la preuve </w:t>
      </w:r>
    </w:p>
    <w:p w14:paraId="23EC4D91" w14:textId="68438CDA" w:rsidR="00CD6275" w:rsidRDefault="00CD6275" w:rsidP="00CD6275">
      <w:pPr>
        <w:spacing w:line="360" w:lineRule="auto"/>
        <w:jc w:val="both"/>
        <w:rPr>
          <w:rFonts w:ascii="Times New Roman" w:hAnsi="Times New Roman" w:cs="Times New Roman"/>
        </w:rPr>
      </w:pPr>
      <w:r>
        <w:rPr>
          <w:rFonts w:ascii="Times New Roman" w:hAnsi="Times New Roman" w:cs="Times New Roman"/>
        </w:rPr>
        <w:t>Etant donné que l’article XX est considéré comme une exception, il revient à la partie qui l’invoque d’apporter la preuve que la mesure incriminée satisfait aux conditions de la disposition</w:t>
      </w:r>
      <w:r>
        <w:rPr>
          <w:rStyle w:val="Marquenotebasdepage"/>
          <w:rFonts w:ascii="Times New Roman" w:hAnsi="Times New Roman" w:cs="Times New Roman"/>
        </w:rPr>
        <w:footnoteReference w:id="186"/>
      </w:r>
      <w:r>
        <w:rPr>
          <w:rFonts w:ascii="Times New Roman" w:hAnsi="Times New Roman" w:cs="Times New Roman"/>
        </w:rPr>
        <w:t xml:space="preserve">. Comme mentionné précédemment, il </w:t>
      </w:r>
      <w:r w:rsidR="00673725" w:rsidRPr="007A29B5">
        <w:rPr>
          <w:rFonts w:ascii="Times New Roman" w:hAnsi="Times New Roman" w:cs="Times New Roman"/>
        </w:rPr>
        <w:t>incombe</w:t>
      </w:r>
      <w:r w:rsidRPr="007A29B5">
        <w:rPr>
          <w:rFonts w:ascii="Times New Roman" w:hAnsi="Times New Roman" w:cs="Times New Roman"/>
        </w:rPr>
        <w:t xml:space="preserve"> dès lors</w:t>
      </w:r>
      <w:r w:rsidR="00904F6B">
        <w:rPr>
          <w:rFonts w:ascii="Times New Roman" w:hAnsi="Times New Roman" w:cs="Times New Roman"/>
        </w:rPr>
        <w:t xml:space="preserve"> à la partie</w:t>
      </w:r>
      <w:r>
        <w:rPr>
          <w:rFonts w:ascii="Times New Roman" w:hAnsi="Times New Roman" w:cs="Times New Roman"/>
        </w:rPr>
        <w:t xml:space="preserve"> de démontrer en premier lieu que la me</w:t>
      </w:r>
      <w:r w:rsidR="008D7589">
        <w:rPr>
          <w:rFonts w:ascii="Times New Roman" w:hAnsi="Times New Roman" w:cs="Times New Roman"/>
        </w:rPr>
        <w:t xml:space="preserve">sure est visée par </w:t>
      </w:r>
      <w:r>
        <w:rPr>
          <w:rFonts w:ascii="Times New Roman" w:hAnsi="Times New Roman" w:cs="Times New Roman"/>
        </w:rPr>
        <w:t xml:space="preserve">le paragraphe </w:t>
      </w:r>
      <w:r w:rsidRPr="003169ED">
        <w:rPr>
          <w:rFonts w:ascii="Times New Roman" w:hAnsi="Times New Roman" w:cs="Times New Roman"/>
          <w:i/>
        </w:rPr>
        <w:t>b)</w:t>
      </w:r>
      <w:r>
        <w:rPr>
          <w:rFonts w:ascii="Times New Roman" w:hAnsi="Times New Roman" w:cs="Times New Roman"/>
        </w:rPr>
        <w:t xml:space="preserve"> ou </w:t>
      </w:r>
      <w:r w:rsidRPr="003169ED">
        <w:rPr>
          <w:rFonts w:ascii="Times New Roman" w:hAnsi="Times New Roman" w:cs="Times New Roman"/>
          <w:i/>
        </w:rPr>
        <w:t>g</w:t>
      </w:r>
      <w:r w:rsidR="00673725">
        <w:rPr>
          <w:rFonts w:ascii="Times New Roman" w:hAnsi="Times New Roman" w:cs="Times New Roman"/>
          <w:i/>
        </w:rPr>
        <w:t>)</w:t>
      </w:r>
      <w:r>
        <w:rPr>
          <w:rFonts w:ascii="Times New Roman" w:hAnsi="Times New Roman" w:cs="Times New Roman"/>
        </w:rPr>
        <w:t>, et en second lieu, de prouver qu’elle satisfait aux conditions énoncées dans le chapeau</w:t>
      </w:r>
      <w:r w:rsidR="00904F6B">
        <w:rPr>
          <w:rFonts w:ascii="Times New Roman" w:hAnsi="Times New Roman" w:cs="Times New Roman"/>
        </w:rPr>
        <w:t>,</w:t>
      </w:r>
      <w:r>
        <w:rPr>
          <w:rFonts w:ascii="Times New Roman" w:hAnsi="Times New Roman" w:cs="Times New Roman"/>
        </w:rPr>
        <w:t xml:space="preserve"> à savoir qu’elle constitue un « moyen de discrimination arbitraire ou injustifiable entre les pays où les mêmes conditions existent », et n’est pas « une restriction déguisée au commerce international »</w:t>
      </w:r>
      <w:r>
        <w:rPr>
          <w:rStyle w:val="Marquenotebasdepage"/>
          <w:rFonts w:ascii="Times New Roman" w:hAnsi="Times New Roman" w:cs="Times New Roman"/>
        </w:rPr>
        <w:footnoteReference w:id="187"/>
      </w:r>
      <w:r>
        <w:rPr>
          <w:rFonts w:ascii="Times New Roman" w:hAnsi="Times New Roman" w:cs="Times New Roman"/>
        </w:rPr>
        <w:t xml:space="preserve">. </w:t>
      </w:r>
    </w:p>
    <w:p w14:paraId="7DC24D3F" w14:textId="77777777" w:rsidR="00A23593" w:rsidRDefault="00A23593" w:rsidP="00A23593">
      <w:pPr>
        <w:spacing w:line="360" w:lineRule="auto"/>
        <w:jc w:val="both"/>
        <w:rPr>
          <w:rFonts w:ascii="Times New Roman" w:hAnsi="Times New Roman" w:cs="Times New Roman"/>
        </w:rPr>
      </w:pPr>
    </w:p>
    <w:p w14:paraId="6593BD42" w14:textId="0BB6FD76" w:rsidR="00CE588A" w:rsidRDefault="00CD6275" w:rsidP="00513674">
      <w:pPr>
        <w:spacing w:line="360" w:lineRule="auto"/>
        <w:jc w:val="both"/>
        <w:rPr>
          <w:rFonts w:ascii="Times New Roman" w:hAnsi="Times New Roman" w:cs="Times New Roman"/>
        </w:rPr>
      </w:pPr>
      <w:r>
        <w:rPr>
          <w:rFonts w:ascii="Times New Roman" w:hAnsi="Times New Roman" w:cs="Times New Roman"/>
        </w:rPr>
        <w:t>La raison pour laquelle il semble difficile d’apporter la preuve de la conformité d’une mesure aux exigences du chapeau réside dans le fait que cette preuve qui incombe au Membre de l’OMC en cause est une preuve négative</w:t>
      </w:r>
      <w:r w:rsidR="00AB5387">
        <w:rPr>
          <w:rStyle w:val="Marquenotebasdepage"/>
          <w:rFonts w:ascii="Times New Roman" w:hAnsi="Times New Roman" w:cs="Times New Roman"/>
        </w:rPr>
        <w:footnoteReference w:id="188"/>
      </w:r>
      <w:r>
        <w:rPr>
          <w:rFonts w:ascii="Times New Roman" w:hAnsi="Times New Roman" w:cs="Times New Roman"/>
        </w:rPr>
        <w:t xml:space="preserve">. L’Organe d’appel a d’ailleurs confirmé cela dans l’affaire </w:t>
      </w:r>
      <w:r w:rsidRPr="003169ED">
        <w:rPr>
          <w:rFonts w:ascii="Times New Roman" w:hAnsi="Times New Roman" w:cs="Times New Roman"/>
          <w:i/>
        </w:rPr>
        <w:t xml:space="preserve">Essence </w:t>
      </w:r>
      <w:r>
        <w:rPr>
          <w:rFonts w:ascii="Times New Roman" w:hAnsi="Times New Roman" w:cs="Times New Roman"/>
        </w:rPr>
        <w:t>en énonçant qu’ </w:t>
      </w:r>
      <w:r w:rsidRPr="0038626A">
        <w:rPr>
          <w:rFonts w:ascii="Times New Roman" w:hAnsi="Times New Roman" w:cs="Times New Roman"/>
          <w:i/>
        </w:rPr>
        <w:t>« il incombe à la partie qui invoque l’exception de démontrer qu’une mesure provisoirement justifiée du fait qu’elle entre dans le cadre de l’une des exceptions énoncées dans les différents paragraphes de l’article XX ne constitue pas, dans son application, un abus de cette exception</w:t>
      </w:r>
      <w:r w:rsidR="00513674">
        <w:rPr>
          <w:rFonts w:ascii="Times New Roman" w:hAnsi="Times New Roman" w:cs="Times New Roman"/>
          <w:i/>
        </w:rPr>
        <w:t xml:space="preserve"> au regard du texte introductif </w:t>
      </w:r>
      <w:r w:rsidR="00507891" w:rsidRPr="001E6FE1">
        <w:rPr>
          <w:rFonts w:ascii="Times New Roman" w:hAnsi="Times New Roman" w:cs="Times New Roman"/>
          <w:i/>
        </w:rPr>
        <w:t>»</w:t>
      </w:r>
      <w:r w:rsidR="00513674">
        <w:rPr>
          <w:rStyle w:val="Marquenotebasdepage"/>
          <w:rFonts w:ascii="Times New Roman" w:hAnsi="Times New Roman" w:cs="Times New Roman"/>
          <w:i/>
        </w:rPr>
        <w:footnoteReference w:id="189"/>
      </w:r>
      <w:r w:rsidR="00513674">
        <w:rPr>
          <w:rFonts w:ascii="Times New Roman" w:hAnsi="Times New Roman" w:cs="Times New Roman"/>
          <w:i/>
        </w:rPr>
        <w:t>.</w:t>
      </w:r>
      <w:r w:rsidR="00507891" w:rsidRPr="001E6FE1">
        <w:rPr>
          <w:rFonts w:ascii="Times New Roman" w:hAnsi="Times New Roman" w:cs="Times New Roman"/>
          <w:i/>
        </w:rPr>
        <w:t xml:space="preserve"> </w:t>
      </w:r>
      <w:r w:rsidR="00507891" w:rsidRPr="001E6FE1">
        <w:rPr>
          <w:rFonts w:ascii="Times New Roman" w:hAnsi="Times New Roman"/>
        </w:rPr>
        <w:t>Il convient également de noter que la charge de la preuve est plus lourde dans cette hypothèse que lorsqu’il faut apporter la preuve que la mesure relève d’une exception</w:t>
      </w:r>
      <w:r w:rsidR="00507891" w:rsidRPr="001E6FE1">
        <w:rPr>
          <w:rStyle w:val="Marquenotebasdepage"/>
          <w:rFonts w:ascii="Times New Roman" w:hAnsi="Times New Roman"/>
        </w:rPr>
        <w:footnoteReference w:id="190"/>
      </w:r>
      <w:r w:rsidR="00507891" w:rsidRPr="001E6FE1">
        <w:rPr>
          <w:rFonts w:ascii="Times New Roman" w:hAnsi="Times New Roman"/>
        </w:rPr>
        <w:t>.</w:t>
      </w:r>
      <w:r w:rsidR="00EB084C">
        <w:rPr>
          <w:rFonts w:ascii="Times New Roman" w:hAnsi="Times New Roman"/>
        </w:rPr>
        <w:t xml:space="preserve"> </w:t>
      </w:r>
      <w:r>
        <w:rPr>
          <w:rFonts w:ascii="Times New Roman" w:hAnsi="Times New Roman" w:cs="Times New Roman"/>
        </w:rPr>
        <w:t>Ainsi, alors que les conditions posées par le chapeau sont négatives, il n’en va pas de même pour les conditions posées par les paragraphes qui sont quant à elles positives</w:t>
      </w:r>
      <w:r>
        <w:rPr>
          <w:rStyle w:val="Marquenotebasdepage"/>
          <w:rFonts w:ascii="Times New Roman" w:hAnsi="Times New Roman" w:cs="Times New Roman"/>
        </w:rPr>
        <w:footnoteReference w:id="191"/>
      </w:r>
      <w:r>
        <w:rPr>
          <w:rFonts w:ascii="Times New Roman" w:hAnsi="Times New Roman" w:cs="Times New Roman"/>
        </w:rPr>
        <w:t>.</w:t>
      </w:r>
      <w:r w:rsidR="00AB5387">
        <w:rPr>
          <w:rFonts w:ascii="Times New Roman" w:hAnsi="Times New Roman"/>
        </w:rPr>
        <w:t xml:space="preserve"> </w:t>
      </w:r>
      <w:r>
        <w:rPr>
          <w:rFonts w:ascii="Times New Roman" w:hAnsi="Times New Roman" w:cs="Times New Roman"/>
        </w:rPr>
        <w:t>Cette difficulté d’apporter une preuve négative est toutefois tempérée d’une part, par le fait que le plaignant a l’obligation de collabore</w:t>
      </w:r>
      <w:r w:rsidR="00AB5387">
        <w:rPr>
          <w:rFonts w:ascii="Times New Roman" w:hAnsi="Times New Roman" w:cs="Times New Roman"/>
        </w:rPr>
        <w:t>r à la preuve, et d’autre part,</w:t>
      </w:r>
      <w:r>
        <w:rPr>
          <w:rFonts w:ascii="Times New Roman" w:hAnsi="Times New Roman" w:cs="Times New Roman"/>
        </w:rPr>
        <w:t xml:space="preserve"> par la manière dont le Groupe spécial tend à évaluer les preuves</w:t>
      </w:r>
      <w:r w:rsidR="00904F6B">
        <w:rPr>
          <w:rFonts w:ascii="Times New Roman" w:hAnsi="Times New Roman" w:cs="Times New Roman"/>
        </w:rPr>
        <w:t>,</w:t>
      </w:r>
      <w:r>
        <w:rPr>
          <w:rFonts w:ascii="Times New Roman" w:hAnsi="Times New Roman" w:cs="Times New Roman"/>
        </w:rPr>
        <w:t xml:space="preserve"> à savoir par l’évaluation globale des preuves, les avis d’experts et </w:t>
      </w:r>
      <w:r w:rsidRPr="000168E7">
        <w:rPr>
          <w:rFonts w:ascii="Times New Roman" w:hAnsi="Times New Roman" w:cs="Times New Roman"/>
        </w:rPr>
        <w:t>les amici curiae</w:t>
      </w:r>
      <w:r>
        <w:rPr>
          <w:rStyle w:val="Marquenotebasdepage"/>
          <w:rFonts w:ascii="Times New Roman" w:hAnsi="Times New Roman" w:cs="Times New Roman"/>
        </w:rPr>
        <w:footnoteReference w:id="192"/>
      </w:r>
      <w:r>
        <w:rPr>
          <w:rFonts w:ascii="Times New Roman" w:hAnsi="Times New Roman" w:cs="Times New Roman"/>
        </w:rPr>
        <w:t xml:space="preserve">. </w:t>
      </w:r>
    </w:p>
    <w:p w14:paraId="44FA7B84" w14:textId="77777777" w:rsidR="00CE588A" w:rsidRDefault="00CE588A" w:rsidP="00CE588A">
      <w:pPr>
        <w:spacing w:line="360" w:lineRule="auto"/>
        <w:jc w:val="both"/>
        <w:rPr>
          <w:rFonts w:ascii="Times New Roman" w:hAnsi="Times New Roman" w:cs="Times New Roman"/>
        </w:rPr>
      </w:pPr>
    </w:p>
    <w:p w14:paraId="27D593E3" w14:textId="5E3A10CA" w:rsidR="00CE588A" w:rsidRPr="00111836" w:rsidRDefault="00932717" w:rsidP="00932717">
      <w:pPr>
        <w:spacing w:line="360" w:lineRule="auto"/>
        <w:ind w:firstLine="708"/>
        <w:jc w:val="both"/>
        <w:rPr>
          <w:rFonts w:ascii="Times New Roman" w:hAnsi="Times New Roman" w:cs="Times New Roman"/>
          <w:b/>
        </w:rPr>
      </w:pPr>
      <w:r>
        <w:rPr>
          <w:rFonts w:ascii="Times New Roman" w:hAnsi="Times New Roman" w:cs="Times New Roman"/>
          <w:b/>
        </w:rPr>
        <w:t>C</w:t>
      </w:r>
      <w:r w:rsidR="00B976A1">
        <w:rPr>
          <w:rFonts w:ascii="Times New Roman" w:hAnsi="Times New Roman" w:cs="Times New Roman"/>
          <w:b/>
        </w:rPr>
        <w:t xml:space="preserve">. </w:t>
      </w:r>
      <w:r w:rsidR="00CE588A" w:rsidRPr="00696434">
        <w:rPr>
          <w:rFonts w:ascii="Times New Roman" w:hAnsi="Times New Roman" w:cs="Times New Roman"/>
          <w:b/>
        </w:rPr>
        <w:t>Ordre des étapes à suivre dans l’analyse de l’article XX</w:t>
      </w:r>
    </w:p>
    <w:p w14:paraId="2ABEE0FB" w14:textId="658F35B2" w:rsidR="00CE588A" w:rsidRDefault="00CE588A" w:rsidP="008D7589">
      <w:pPr>
        <w:spacing w:line="360" w:lineRule="auto"/>
        <w:jc w:val="both"/>
        <w:rPr>
          <w:rFonts w:ascii="Times New Roman" w:hAnsi="Times New Roman"/>
        </w:rPr>
      </w:pPr>
      <w:r>
        <w:rPr>
          <w:rFonts w:ascii="Times New Roman" w:hAnsi="Times New Roman" w:cs="Times New Roman"/>
        </w:rPr>
        <w:t xml:space="preserve">Dans l’affaire </w:t>
      </w:r>
      <w:r w:rsidRPr="00792264">
        <w:rPr>
          <w:rFonts w:ascii="Times New Roman" w:hAnsi="Times New Roman" w:cs="Times New Roman"/>
          <w:i/>
        </w:rPr>
        <w:t>Essence</w:t>
      </w:r>
      <w:r w:rsidRPr="00792264">
        <w:rPr>
          <w:rStyle w:val="Marquenotebasdepage"/>
          <w:rFonts w:ascii="Times New Roman" w:hAnsi="Times New Roman" w:cs="Times New Roman"/>
          <w:i/>
        </w:rPr>
        <w:footnoteReference w:id="193"/>
      </w:r>
      <w:r w:rsidRPr="00792264">
        <w:rPr>
          <w:rFonts w:ascii="Times New Roman" w:hAnsi="Times New Roman" w:cs="Times New Roman"/>
        </w:rPr>
        <w:t xml:space="preserve">, </w:t>
      </w:r>
      <w:r w:rsidRPr="000168E7">
        <w:rPr>
          <w:rFonts w:ascii="Times New Roman" w:hAnsi="Times New Roman"/>
        </w:rPr>
        <w:t>le Groupe spécial a conclu que les méthodes d’établissement des niveaux de base issues de la Réglementation américaine sur l’essence étaient incompatibles avec l’article III§4 du GATT étant donné d’une part, qu’elle empêchait l’essence importée de bénéficier de conditions de vente aussi favorable que celles qu’elles accordaient à l’essence nationale</w:t>
      </w:r>
      <w:r w:rsidRPr="000168E7">
        <w:rPr>
          <w:rStyle w:val="Marquenotebasdepage"/>
          <w:rFonts w:ascii="Times New Roman" w:hAnsi="Times New Roman"/>
        </w:rPr>
        <w:footnoteReference w:id="194"/>
      </w:r>
      <w:r w:rsidRPr="000168E7">
        <w:rPr>
          <w:rFonts w:ascii="Times New Roman" w:hAnsi="Times New Roman"/>
        </w:rPr>
        <w:t xml:space="preserve"> et d’autre part, qu’elle n’était pas justifiée au regard des paragraphes </w:t>
      </w:r>
      <w:r w:rsidRPr="000168E7">
        <w:rPr>
          <w:rFonts w:ascii="Times New Roman" w:hAnsi="Times New Roman"/>
          <w:i/>
        </w:rPr>
        <w:t>b)</w:t>
      </w:r>
      <w:r w:rsidRPr="000168E7">
        <w:rPr>
          <w:rFonts w:ascii="Times New Roman" w:hAnsi="Times New Roman"/>
        </w:rPr>
        <w:t xml:space="preserve">, </w:t>
      </w:r>
      <w:r w:rsidRPr="000168E7">
        <w:rPr>
          <w:rFonts w:ascii="Times New Roman" w:hAnsi="Times New Roman"/>
          <w:i/>
        </w:rPr>
        <w:t>d)</w:t>
      </w:r>
      <w:r w:rsidRPr="000168E7">
        <w:rPr>
          <w:rFonts w:ascii="Times New Roman" w:hAnsi="Times New Roman"/>
        </w:rPr>
        <w:t xml:space="preserve"> et </w:t>
      </w:r>
      <w:r w:rsidRPr="000168E7">
        <w:rPr>
          <w:rFonts w:ascii="Times New Roman" w:hAnsi="Times New Roman"/>
          <w:i/>
        </w:rPr>
        <w:t>g)</w:t>
      </w:r>
      <w:r w:rsidRPr="000168E7">
        <w:rPr>
          <w:rFonts w:ascii="Times New Roman" w:hAnsi="Times New Roman"/>
        </w:rPr>
        <w:t xml:space="preserve"> de l’article XX</w:t>
      </w:r>
      <w:r w:rsidR="00072172" w:rsidRPr="000168E7">
        <w:rPr>
          <w:rStyle w:val="Marquenotebasdepage"/>
          <w:rFonts w:ascii="Times New Roman" w:hAnsi="Times New Roman"/>
        </w:rPr>
        <w:footnoteReference w:id="195"/>
      </w:r>
      <w:r w:rsidRPr="000168E7">
        <w:rPr>
          <w:rFonts w:ascii="Times New Roman" w:hAnsi="Times New Roman"/>
        </w:rPr>
        <w:t>. L’Organe d’appel, saisi par les Etats-Unis, a confirmé les conclusions du Groupe spécial mais a toutefois considéré que l’article XX avait été mal interprété. En eff</w:t>
      </w:r>
      <w:r w:rsidR="007B370F" w:rsidRPr="000168E7">
        <w:rPr>
          <w:rFonts w:ascii="Times New Roman" w:hAnsi="Times New Roman"/>
        </w:rPr>
        <w:t>et, l’Organe d’appel a noté</w:t>
      </w:r>
      <w:r w:rsidRPr="000168E7">
        <w:rPr>
          <w:rFonts w:ascii="Times New Roman" w:hAnsi="Times New Roman"/>
        </w:rPr>
        <w:t xml:space="preserve"> que le Groupe spécial avait commis des erreurs de droit d’une part, lorsqu’il avait affirmé que la réglementation sur l’essence n’entrait pas dans le cadre du paragraphe </w:t>
      </w:r>
      <w:r w:rsidRPr="000168E7">
        <w:rPr>
          <w:rFonts w:ascii="Times New Roman" w:hAnsi="Times New Roman"/>
          <w:i/>
        </w:rPr>
        <w:t>g)</w:t>
      </w:r>
      <w:r w:rsidRPr="000168E7">
        <w:rPr>
          <w:rFonts w:ascii="Times New Roman" w:hAnsi="Times New Roman"/>
        </w:rPr>
        <w:t xml:space="preserve"> de l’article XX, et d’autre part, parce qu’il ne s’était pas prononcé sur le point de savoir si elle entrait ou non dans le champ d’application de ses dispositions introductives</w:t>
      </w:r>
      <w:r w:rsidRPr="000168E7">
        <w:rPr>
          <w:rStyle w:val="Marquenotebasdepage"/>
          <w:rFonts w:ascii="Times New Roman" w:hAnsi="Times New Roman"/>
        </w:rPr>
        <w:footnoteReference w:id="196"/>
      </w:r>
      <w:r w:rsidRPr="000168E7">
        <w:rPr>
          <w:rFonts w:ascii="Times New Roman" w:hAnsi="Times New Roman"/>
        </w:rPr>
        <w:t>. L’Organe</w:t>
      </w:r>
      <w:r w:rsidRPr="0062497B">
        <w:rPr>
          <w:rFonts w:ascii="Times New Roman" w:hAnsi="Times New Roman"/>
        </w:rPr>
        <w:t xml:space="preserve"> d’appel a substitué son analyse à celle du Groupe spécial</w:t>
      </w:r>
      <w:r w:rsidR="00630C68">
        <w:rPr>
          <w:rFonts w:ascii="Times New Roman" w:hAnsi="Times New Roman"/>
        </w:rPr>
        <w:t>.</w:t>
      </w:r>
      <w:r w:rsidRPr="0062497B">
        <w:rPr>
          <w:rFonts w:ascii="Times New Roman" w:hAnsi="Times New Roman"/>
        </w:rPr>
        <w:t xml:space="preserve"> </w:t>
      </w:r>
      <w:r>
        <w:rPr>
          <w:rFonts w:ascii="Times New Roman" w:hAnsi="Times New Roman"/>
        </w:rPr>
        <w:t xml:space="preserve">Dans cette affaire, </w:t>
      </w:r>
      <w:r w:rsidRPr="0062497B">
        <w:rPr>
          <w:rFonts w:ascii="Times New Roman" w:hAnsi="Times New Roman"/>
        </w:rPr>
        <w:t>le rapport de l’Organe d’appel a défini une méthode d’application de l’article XX de l’Accord général qui se divise en deux parties</w:t>
      </w:r>
      <w:r w:rsidRPr="0062497B">
        <w:rPr>
          <w:rStyle w:val="Marquenotebasdepage"/>
          <w:rFonts w:ascii="Times New Roman" w:hAnsi="Times New Roman"/>
        </w:rPr>
        <w:footnoteReference w:id="197"/>
      </w:r>
      <w:r w:rsidRPr="0062497B">
        <w:rPr>
          <w:rFonts w:ascii="Times New Roman" w:hAnsi="Times New Roman"/>
        </w:rPr>
        <w:t>. Il a én</w:t>
      </w:r>
      <w:r w:rsidR="00A23AEC">
        <w:rPr>
          <w:rFonts w:ascii="Times New Roman" w:hAnsi="Times New Roman"/>
        </w:rPr>
        <w:t>oncé ce qui suit</w:t>
      </w:r>
      <w:r>
        <w:rPr>
          <w:rFonts w:ascii="Times New Roman" w:hAnsi="Times New Roman"/>
        </w:rPr>
        <w:t xml:space="preserve"> : </w:t>
      </w:r>
      <w:r w:rsidRPr="00AF6D18">
        <w:rPr>
          <w:rFonts w:ascii="Times New Roman" w:hAnsi="Times New Roman"/>
          <w:i/>
        </w:rPr>
        <w:t>« Pour que la protection conférée par l’article XX puisse s’appliquer à elle afin de la justifier, la mesure en cause ne doit pas seulement relever de l’une ou l’autre des exceptions particulières – paragraphes a) à j) – énumérées à l’article XX ; elle doit aussi satisfaire aux prescriptions établies dans les clauses introductives de l’article XX. En d’autres termes, l’analyse est double : premièrement, justification provisoire de la mesure au motif qu’elle relève de l’une des exceptions ; deuxièmement, nouvelle évaluation de la même mesure au regard des clauses introductives de l’article XX »</w:t>
      </w:r>
      <w:r>
        <w:rPr>
          <w:rStyle w:val="Marquenotebasdepage"/>
          <w:rFonts w:ascii="Times New Roman" w:hAnsi="Times New Roman"/>
        </w:rPr>
        <w:footnoteReference w:id="198"/>
      </w:r>
      <w:r>
        <w:rPr>
          <w:rFonts w:ascii="Times New Roman" w:hAnsi="Times New Roman"/>
        </w:rPr>
        <w:t>.</w:t>
      </w:r>
    </w:p>
    <w:p w14:paraId="77C9C39D" w14:textId="77777777" w:rsidR="00CE588A" w:rsidRDefault="00CE588A" w:rsidP="00CE588A">
      <w:pPr>
        <w:spacing w:line="360" w:lineRule="auto"/>
        <w:jc w:val="both"/>
        <w:rPr>
          <w:rFonts w:ascii="Times New Roman" w:hAnsi="Times New Roman"/>
        </w:rPr>
      </w:pPr>
    </w:p>
    <w:p w14:paraId="273A084E" w14:textId="6B194601" w:rsidR="00EF6928" w:rsidRDefault="00CE588A" w:rsidP="00AC3892">
      <w:pPr>
        <w:spacing w:line="360" w:lineRule="auto"/>
        <w:ind w:firstLine="708"/>
        <w:jc w:val="both"/>
        <w:rPr>
          <w:rFonts w:ascii="Times New Roman" w:hAnsi="Times New Roman"/>
        </w:rPr>
      </w:pPr>
      <w:r>
        <w:rPr>
          <w:rFonts w:ascii="Times New Roman" w:hAnsi="Times New Roman"/>
        </w:rPr>
        <w:t xml:space="preserve">Dans l’affaire </w:t>
      </w:r>
      <w:r w:rsidRPr="008E094E">
        <w:rPr>
          <w:rFonts w:ascii="Times New Roman" w:hAnsi="Times New Roman"/>
          <w:i/>
        </w:rPr>
        <w:t>Crevettes</w:t>
      </w:r>
      <w:r>
        <w:rPr>
          <w:rStyle w:val="Marquenotebasdepage"/>
          <w:rFonts w:ascii="Times New Roman" w:hAnsi="Times New Roman"/>
        </w:rPr>
        <w:footnoteReference w:id="199"/>
      </w:r>
      <w:r>
        <w:rPr>
          <w:rFonts w:ascii="Times New Roman" w:hAnsi="Times New Roman"/>
        </w:rPr>
        <w:t xml:space="preserve">, l’Organe </w:t>
      </w:r>
      <w:r w:rsidR="00630C68">
        <w:rPr>
          <w:rFonts w:ascii="Times New Roman" w:hAnsi="Times New Roman"/>
        </w:rPr>
        <w:t>d’appel a</w:t>
      </w:r>
      <w:r w:rsidR="00904F6B">
        <w:rPr>
          <w:rFonts w:ascii="Times New Roman" w:hAnsi="Times New Roman"/>
        </w:rPr>
        <w:t>,</w:t>
      </w:r>
      <w:r w:rsidR="00630C68">
        <w:rPr>
          <w:rFonts w:ascii="Times New Roman" w:hAnsi="Times New Roman"/>
        </w:rPr>
        <w:t xml:space="preserve"> quant à lui</w:t>
      </w:r>
      <w:r w:rsidR="00904F6B">
        <w:rPr>
          <w:rFonts w:ascii="Times New Roman" w:hAnsi="Times New Roman"/>
        </w:rPr>
        <w:t>,</w:t>
      </w:r>
      <w:r w:rsidR="00630C68">
        <w:rPr>
          <w:rFonts w:ascii="Times New Roman" w:hAnsi="Times New Roman"/>
        </w:rPr>
        <w:t xml:space="preserve"> considéré</w:t>
      </w:r>
      <w:r w:rsidRPr="00B44BEA">
        <w:rPr>
          <w:rFonts w:ascii="Times New Roman" w:hAnsi="Times New Roman"/>
        </w:rPr>
        <w:t xml:space="preserve"> que l’ordre des différentes étapes à respecter dans l’analyse de l’article XX avait fait l’objet d’un renversement. Ainsi, l’Organe d’appel </w:t>
      </w:r>
      <w:r w:rsidR="007B370F">
        <w:rPr>
          <w:rFonts w:ascii="Times New Roman" w:hAnsi="Times New Roman"/>
        </w:rPr>
        <w:t>a reproché</w:t>
      </w:r>
      <w:r w:rsidRPr="00B44BEA">
        <w:rPr>
          <w:rFonts w:ascii="Times New Roman" w:hAnsi="Times New Roman"/>
        </w:rPr>
        <w:t xml:space="preserve"> au Groupe spécial d’avoir analysé en premier lieu si la mesure en cause satisfaisait aux conditions énoncées dans le préambule de l’article XX avant d’examiner si la mesure américaine était justifiée au titre du paragraphe </w:t>
      </w:r>
      <w:r w:rsidRPr="00B44BEA">
        <w:rPr>
          <w:rFonts w:ascii="Times New Roman" w:hAnsi="Times New Roman"/>
          <w:i/>
        </w:rPr>
        <w:t>g)</w:t>
      </w:r>
      <w:r w:rsidRPr="00B44BEA">
        <w:rPr>
          <w:rFonts w:ascii="Times New Roman" w:hAnsi="Times New Roman"/>
        </w:rPr>
        <w:t>.</w:t>
      </w:r>
      <w:r>
        <w:rPr>
          <w:rFonts w:ascii="Times New Roman" w:hAnsi="Times New Roman"/>
        </w:rPr>
        <w:t xml:space="preserve"> </w:t>
      </w:r>
      <w:r w:rsidR="00332AF0">
        <w:rPr>
          <w:rFonts w:ascii="Times New Roman" w:hAnsi="Times New Roman"/>
        </w:rPr>
        <w:t>Dans cette affaire,</w:t>
      </w:r>
      <w:r w:rsidR="00A23AEC">
        <w:rPr>
          <w:rFonts w:ascii="Times New Roman" w:hAnsi="Times New Roman"/>
        </w:rPr>
        <w:t xml:space="preserve"> le Groupe spécial avait énoncé que</w:t>
      </w:r>
      <w:r>
        <w:rPr>
          <w:rFonts w:ascii="Times New Roman" w:hAnsi="Times New Roman"/>
        </w:rPr>
        <w:t xml:space="preserve"> </w:t>
      </w:r>
      <w:r w:rsidRPr="00096CED">
        <w:rPr>
          <w:rFonts w:ascii="Times New Roman" w:hAnsi="Times New Roman"/>
          <w:i/>
        </w:rPr>
        <w:t>« les Groupes spéciaux ont par le passé examiné les alinéas spécifiques de l’article XX avant d’étudier l’applicabilité des conditions énoncées dans le texte introductif. Toutefois, comme les conditions énoncées dans la disposition introductive s’appliquent à chacun des alinéas de l’article XX, il semble tout aussi approprié d’analyser tout d’abord la disposition introductive de l’article XX »</w:t>
      </w:r>
      <w:r>
        <w:rPr>
          <w:rStyle w:val="Marquenotebasdepage"/>
          <w:rFonts w:ascii="Times New Roman" w:hAnsi="Times New Roman"/>
        </w:rPr>
        <w:footnoteReference w:id="200"/>
      </w:r>
      <w:r>
        <w:rPr>
          <w:rFonts w:ascii="Times New Roman" w:hAnsi="Times New Roman"/>
        </w:rPr>
        <w:t>.</w:t>
      </w:r>
      <w:r w:rsidR="00DE66FD">
        <w:rPr>
          <w:rFonts w:ascii="Times New Roman" w:hAnsi="Times New Roman"/>
        </w:rPr>
        <w:t xml:space="preserve"> Or, </w:t>
      </w:r>
      <w:r w:rsidR="00DE66FD" w:rsidRPr="00B44BEA">
        <w:rPr>
          <w:rFonts w:ascii="Times New Roman" w:hAnsi="Times New Roman"/>
        </w:rPr>
        <w:t>selon l’Organe d’appel, le Groupe spécial aurait dû effectuer le raisonnement inverse.</w:t>
      </w:r>
      <w:r w:rsidR="00DE66FD">
        <w:rPr>
          <w:rFonts w:ascii="Times New Roman" w:hAnsi="Times New Roman"/>
        </w:rPr>
        <w:t xml:space="preserve"> Il a ainsi </w:t>
      </w:r>
      <w:r>
        <w:rPr>
          <w:rFonts w:ascii="Times New Roman" w:hAnsi="Times New Roman"/>
        </w:rPr>
        <w:t xml:space="preserve">infirmé </w:t>
      </w:r>
      <w:r w:rsidR="001E6FE1">
        <w:rPr>
          <w:rFonts w:ascii="Times New Roman" w:hAnsi="Times New Roman"/>
        </w:rPr>
        <w:t>la constatation de</w:t>
      </w:r>
      <w:r w:rsidR="00DE66FD">
        <w:rPr>
          <w:rFonts w:ascii="Times New Roman" w:hAnsi="Times New Roman"/>
        </w:rPr>
        <w:t xml:space="preserve"> </w:t>
      </w:r>
      <w:r w:rsidR="00A23AEC">
        <w:rPr>
          <w:rFonts w:ascii="Times New Roman" w:hAnsi="Times New Roman"/>
        </w:rPr>
        <w:t xml:space="preserve">celui-ci </w:t>
      </w:r>
      <w:r>
        <w:rPr>
          <w:rFonts w:ascii="Times New Roman" w:hAnsi="Times New Roman"/>
        </w:rPr>
        <w:t xml:space="preserve">en énonçant que </w:t>
      </w:r>
      <w:r w:rsidRPr="00B54CE4">
        <w:rPr>
          <w:rFonts w:ascii="Times New Roman" w:hAnsi="Times New Roman"/>
          <w:i/>
        </w:rPr>
        <w:t>« l’ordre des étapes</w:t>
      </w:r>
      <w:r>
        <w:rPr>
          <w:rFonts w:ascii="Times New Roman" w:hAnsi="Times New Roman"/>
          <w:i/>
        </w:rPr>
        <w:t xml:space="preserve"> indiqué ci-dessus (</w:t>
      </w:r>
      <w:r w:rsidRPr="00B54CE4">
        <w:rPr>
          <w:rFonts w:ascii="Times New Roman" w:hAnsi="Times New Roman"/>
          <w:i/>
        </w:rPr>
        <w:t xml:space="preserve">référence l’affaire Essence) à suivre pour analyser une allégation concernant une </w:t>
      </w:r>
      <w:r w:rsidRPr="007A29B5">
        <w:rPr>
          <w:rFonts w:ascii="Times New Roman" w:hAnsi="Times New Roman"/>
          <w:i/>
        </w:rPr>
        <w:t>justification au titre de l’article XX ne dénote pas un choix fortuit ou aléatoire, mais plutôt la structure et la logique fondamentales de l’article XX. Le Groupe spécial semble donner à entendre que suivre l’ordre des étapes indiqué, ou l</w:t>
      </w:r>
      <w:r w:rsidRPr="00B54CE4">
        <w:rPr>
          <w:rFonts w:ascii="Times New Roman" w:hAnsi="Times New Roman"/>
          <w:i/>
        </w:rPr>
        <w:t>’inverser, ne fait aucune différence. Nous ne partageons pas ce point de vue »</w:t>
      </w:r>
      <w:r>
        <w:rPr>
          <w:rStyle w:val="Marquenotebasdepage"/>
          <w:rFonts w:ascii="Times New Roman" w:hAnsi="Times New Roman"/>
        </w:rPr>
        <w:footnoteReference w:id="201"/>
      </w:r>
      <w:r>
        <w:rPr>
          <w:rFonts w:ascii="Times New Roman" w:hAnsi="Times New Roman"/>
        </w:rPr>
        <w:t>.</w:t>
      </w:r>
      <w:r w:rsidR="008D7589">
        <w:rPr>
          <w:rFonts w:ascii="Times New Roman" w:hAnsi="Times New Roman"/>
        </w:rPr>
        <w:t xml:space="preserve"> </w:t>
      </w:r>
    </w:p>
    <w:p w14:paraId="6D488D11" w14:textId="77777777" w:rsidR="00EF6928" w:rsidRDefault="00EF6928" w:rsidP="00EF6928">
      <w:pPr>
        <w:spacing w:line="360" w:lineRule="auto"/>
        <w:jc w:val="both"/>
        <w:rPr>
          <w:rFonts w:ascii="Times New Roman" w:hAnsi="Times New Roman"/>
        </w:rPr>
      </w:pPr>
    </w:p>
    <w:p w14:paraId="31092195" w14:textId="785D649C" w:rsidR="00CE588A" w:rsidRDefault="00712AFD" w:rsidP="00EF6928">
      <w:pPr>
        <w:spacing w:line="360" w:lineRule="auto"/>
        <w:jc w:val="both"/>
        <w:rPr>
          <w:rFonts w:ascii="Times New Roman" w:hAnsi="Times New Roman" w:cs="Times New Roman"/>
        </w:rPr>
      </w:pPr>
      <w:r>
        <w:rPr>
          <w:rFonts w:ascii="Times New Roman" w:hAnsi="Times New Roman" w:cs="Times New Roman"/>
        </w:rPr>
        <w:t>L’Organe d’appel</w:t>
      </w:r>
      <w:r w:rsidR="00CE588A">
        <w:rPr>
          <w:rFonts w:ascii="Times New Roman" w:hAnsi="Times New Roman" w:cs="Times New Roman"/>
        </w:rPr>
        <w:t xml:space="preserve"> </w:t>
      </w:r>
      <w:r w:rsidR="00E87F9C">
        <w:rPr>
          <w:rFonts w:ascii="Times New Roman" w:hAnsi="Times New Roman" w:cs="Times New Roman"/>
        </w:rPr>
        <w:t>a tenu à exprimer</w:t>
      </w:r>
      <w:r w:rsidR="00CE588A">
        <w:rPr>
          <w:rFonts w:ascii="Times New Roman" w:hAnsi="Times New Roman" w:cs="Times New Roman"/>
        </w:rPr>
        <w:t xml:space="preserve"> le même reproche à l’égard du Groupe spécial dans l’affaire </w:t>
      </w:r>
      <w:r w:rsidR="00CE588A" w:rsidRPr="00CD1C78">
        <w:rPr>
          <w:rFonts w:ascii="Times New Roman" w:hAnsi="Times New Roman" w:cs="Times New Roman"/>
          <w:i/>
        </w:rPr>
        <w:t>Essence</w:t>
      </w:r>
      <w:r w:rsidR="00CE588A">
        <w:rPr>
          <w:rFonts w:ascii="Times New Roman" w:hAnsi="Times New Roman" w:cs="Times New Roman"/>
        </w:rPr>
        <w:t xml:space="preserve">. </w:t>
      </w:r>
      <w:r>
        <w:rPr>
          <w:rFonts w:ascii="Times New Roman" w:hAnsi="Times New Roman" w:cs="Times New Roman"/>
        </w:rPr>
        <w:t xml:space="preserve">Ainsi, il </w:t>
      </w:r>
      <w:r w:rsidR="00CE588A">
        <w:rPr>
          <w:rFonts w:ascii="Times New Roman" w:hAnsi="Times New Roman" w:cs="Times New Roman"/>
        </w:rPr>
        <w:t xml:space="preserve">a énoncé ce qui suit : </w:t>
      </w:r>
      <w:r w:rsidR="00CE588A" w:rsidRPr="00EA1DA8">
        <w:rPr>
          <w:rFonts w:ascii="Times New Roman" w:hAnsi="Times New Roman" w:cs="Times New Roman"/>
          <w:i/>
        </w:rPr>
        <w:t>« La tâche qui consiste à interpréter le texte introductif de façon à empêcher l'usage abusif ou impropre des exceptions spécifiques prévues à l'article XX devient très difficile, sinon tout à fait impossible, lorsque celui qui interprète (comme le Groupe spécial en l'espèce) n'a pas d'abord identifié et examiné l'exception spécifique susceptible d'abus</w:t>
      </w:r>
      <w:r w:rsidR="008D7589">
        <w:rPr>
          <w:rFonts w:ascii="Times New Roman" w:hAnsi="Times New Roman" w:cs="Times New Roman"/>
          <w:i/>
        </w:rPr>
        <w:t xml:space="preserve"> </w:t>
      </w:r>
      <w:r w:rsidR="00CE588A" w:rsidRPr="00EA1DA8">
        <w:rPr>
          <w:rFonts w:ascii="Times New Roman" w:hAnsi="Times New Roman" w:cs="Times New Roman"/>
          <w:i/>
        </w:rPr>
        <w:t>»</w:t>
      </w:r>
      <w:r w:rsidR="00CE588A" w:rsidRPr="00B44BEA">
        <w:rPr>
          <w:rStyle w:val="Marquenotebasdepage"/>
          <w:rFonts w:ascii="Times New Roman" w:hAnsi="Times New Roman" w:cs="Times New Roman"/>
        </w:rPr>
        <w:footnoteReference w:id="202"/>
      </w:r>
      <w:r w:rsidR="00CE588A" w:rsidRPr="00B44BEA">
        <w:rPr>
          <w:rFonts w:ascii="Times New Roman" w:hAnsi="Times New Roman" w:cs="Times New Roman"/>
        </w:rPr>
        <w:t>.</w:t>
      </w:r>
      <w:r w:rsidR="00CE588A">
        <w:rPr>
          <w:rFonts w:ascii="Times New Roman" w:hAnsi="Times New Roman" w:cs="Times New Roman"/>
        </w:rPr>
        <w:t xml:space="preserve"> </w:t>
      </w:r>
      <w:r w:rsidR="007E3317">
        <w:rPr>
          <w:rFonts w:ascii="Times New Roman" w:hAnsi="Times New Roman"/>
        </w:rPr>
        <w:t xml:space="preserve">Ainsi, </w:t>
      </w:r>
      <w:r w:rsidR="007E3317" w:rsidRPr="00B44BEA">
        <w:rPr>
          <w:rFonts w:ascii="Times New Roman" w:hAnsi="Times New Roman"/>
        </w:rPr>
        <w:t>l’ordre scrupuleux des étapes à suivre lo</w:t>
      </w:r>
      <w:r w:rsidR="007E3317">
        <w:rPr>
          <w:rFonts w:ascii="Times New Roman" w:hAnsi="Times New Roman"/>
        </w:rPr>
        <w:t>rs de l’analyse de l’article XX</w:t>
      </w:r>
      <w:r w:rsidR="007E3317" w:rsidRPr="00B44BEA">
        <w:rPr>
          <w:rFonts w:ascii="Times New Roman" w:hAnsi="Times New Roman"/>
        </w:rPr>
        <w:t xml:space="preserve"> a pour but </w:t>
      </w:r>
      <w:r w:rsidR="007E3317">
        <w:rPr>
          <w:rFonts w:ascii="Times New Roman" w:hAnsi="Times New Roman"/>
        </w:rPr>
        <w:t>d’</w:t>
      </w:r>
      <w:r w:rsidR="007E3317" w:rsidRPr="00B44BEA">
        <w:rPr>
          <w:rFonts w:ascii="Times New Roman" w:hAnsi="Times New Roman"/>
        </w:rPr>
        <w:t>éviter l’abus des exceptions</w:t>
      </w:r>
      <w:r w:rsidR="007E3317">
        <w:rPr>
          <w:rFonts w:ascii="Times New Roman" w:hAnsi="Times New Roman"/>
        </w:rPr>
        <w:t xml:space="preserve"> </w:t>
      </w:r>
      <w:r w:rsidR="007E3317" w:rsidRPr="00B44BEA">
        <w:rPr>
          <w:rFonts w:ascii="Times New Roman" w:hAnsi="Times New Roman"/>
        </w:rPr>
        <w:t xml:space="preserve">dont l’usage ne </w:t>
      </w:r>
      <w:r w:rsidR="007E3317">
        <w:rPr>
          <w:rFonts w:ascii="Times New Roman" w:hAnsi="Times New Roman"/>
        </w:rPr>
        <w:t>peut être limité et conditionné</w:t>
      </w:r>
      <w:r w:rsidR="007E3317" w:rsidRPr="00B44BEA">
        <w:rPr>
          <w:rStyle w:val="Marquenotebasdepage"/>
          <w:rFonts w:ascii="Times New Roman" w:hAnsi="Times New Roman"/>
        </w:rPr>
        <w:footnoteReference w:id="203"/>
      </w:r>
      <w:r w:rsidR="007E3317" w:rsidRPr="00B44BEA">
        <w:rPr>
          <w:rFonts w:ascii="Times New Roman" w:hAnsi="Times New Roman"/>
        </w:rPr>
        <w:t>.</w:t>
      </w:r>
      <w:r w:rsidR="007E3317">
        <w:rPr>
          <w:rFonts w:ascii="Times New Roman" w:hAnsi="Times New Roman"/>
        </w:rPr>
        <w:t xml:space="preserve"> </w:t>
      </w:r>
      <w:r w:rsidR="007E3317" w:rsidRPr="000168E7">
        <w:rPr>
          <w:rFonts w:ascii="Times New Roman" w:hAnsi="Times New Roman" w:cs="Times New Roman"/>
        </w:rPr>
        <w:t>D</w:t>
      </w:r>
      <w:r w:rsidR="00CE588A" w:rsidRPr="000168E7">
        <w:rPr>
          <w:rFonts w:ascii="Times New Roman" w:hAnsi="Times New Roman" w:cs="Times New Roman"/>
        </w:rPr>
        <w:t>ans cette même affaire</w:t>
      </w:r>
      <w:r w:rsidR="007E3317" w:rsidRPr="000168E7">
        <w:rPr>
          <w:rFonts w:ascii="Times New Roman" w:hAnsi="Times New Roman" w:cs="Times New Roman"/>
        </w:rPr>
        <w:t>, l’Organe</w:t>
      </w:r>
      <w:r w:rsidR="007E3317">
        <w:rPr>
          <w:rFonts w:ascii="Times New Roman" w:hAnsi="Times New Roman" w:cs="Times New Roman"/>
        </w:rPr>
        <w:t xml:space="preserve"> d’appel a également mentionné</w:t>
      </w:r>
      <w:r w:rsidR="00CE588A">
        <w:rPr>
          <w:rFonts w:ascii="Times New Roman" w:hAnsi="Times New Roman" w:cs="Times New Roman"/>
        </w:rPr>
        <w:t xml:space="preserve"> que ce n’était pas parce qu’une mesure entrait dans le champ des dispositions justificatives de l’article XX </w:t>
      </w:r>
      <w:r w:rsidR="00CE588A" w:rsidRPr="00E87F9C">
        <w:rPr>
          <w:rFonts w:ascii="Times New Roman" w:hAnsi="Times New Roman" w:cs="Times New Roman"/>
          <w:i/>
        </w:rPr>
        <w:t>g)</w:t>
      </w:r>
      <w:r w:rsidR="00CE588A">
        <w:rPr>
          <w:rFonts w:ascii="Times New Roman" w:hAnsi="Times New Roman" w:cs="Times New Roman"/>
        </w:rPr>
        <w:t>, qu’elle répondait nécessa</w:t>
      </w:r>
      <w:r w:rsidR="00E87F9C">
        <w:rPr>
          <w:rFonts w:ascii="Times New Roman" w:hAnsi="Times New Roman" w:cs="Times New Roman"/>
        </w:rPr>
        <w:t>irement au prescrit du chapeau</w:t>
      </w:r>
      <w:r w:rsidR="00CE588A">
        <w:rPr>
          <w:rFonts w:ascii="Times New Roman" w:hAnsi="Times New Roman" w:cs="Times New Roman"/>
        </w:rPr>
        <w:t xml:space="preserve"> de ce même article</w:t>
      </w:r>
      <w:r w:rsidR="00CE588A">
        <w:rPr>
          <w:rStyle w:val="Marquenotebasdepage"/>
          <w:rFonts w:ascii="Times New Roman" w:hAnsi="Times New Roman" w:cs="Times New Roman"/>
        </w:rPr>
        <w:footnoteReference w:id="204"/>
      </w:r>
      <w:r w:rsidR="00CE588A">
        <w:rPr>
          <w:rFonts w:ascii="Times New Roman" w:hAnsi="Times New Roman" w:cs="Times New Roman"/>
        </w:rPr>
        <w:t>.</w:t>
      </w:r>
    </w:p>
    <w:p w14:paraId="27716738" w14:textId="77777777" w:rsidR="00105FCE" w:rsidRDefault="00105FCE" w:rsidP="00EF6928">
      <w:pPr>
        <w:spacing w:line="360" w:lineRule="auto"/>
        <w:jc w:val="both"/>
        <w:rPr>
          <w:rFonts w:ascii="Times New Roman" w:hAnsi="Times New Roman" w:cs="Times New Roman"/>
        </w:rPr>
      </w:pPr>
    </w:p>
    <w:p w14:paraId="14E27C2B" w14:textId="77777777" w:rsidR="00105FCE" w:rsidRPr="00FB6C83" w:rsidRDefault="00105FCE" w:rsidP="00105FCE">
      <w:pPr>
        <w:spacing w:line="360" w:lineRule="auto"/>
        <w:jc w:val="both"/>
        <w:rPr>
          <w:rFonts w:ascii="Times New Roman" w:hAnsi="Times New Roman" w:cs="Times New Roman"/>
          <w:b/>
        </w:rPr>
      </w:pPr>
      <w:r>
        <w:rPr>
          <w:rFonts w:ascii="Times New Roman" w:hAnsi="Times New Roman" w:cs="Times New Roman"/>
          <w:b/>
        </w:rPr>
        <w:t xml:space="preserve">D. </w:t>
      </w:r>
      <w:r w:rsidRPr="003D1B23">
        <w:rPr>
          <w:rFonts w:ascii="Times New Roman" w:hAnsi="Times New Roman" w:cs="Times New Roman"/>
          <w:b/>
        </w:rPr>
        <w:t>La différence de structure entre le chapeau et les différents paragraphes de l’article  XX</w:t>
      </w:r>
    </w:p>
    <w:p w14:paraId="4FC241CE" w14:textId="77777777" w:rsidR="00105FCE" w:rsidRDefault="00105FCE" w:rsidP="00105FCE">
      <w:pPr>
        <w:spacing w:line="360" w:lineRule="auto"/>
        <w:jc w:val="both"/>
        <w:rPr>
          <w:rFonts w:ascii="Times New Roman" w:hAnsi="Times New Roman" w:cs="Times New Roman"/>
        </w:rPr>
      </w:pPr>
      <w:r>
        <w:rPr>
          <w:rFonts w:ascii="Times New Roman" w:hAnsi="Times New Roman" w:cs="Times New Roman"/>
        </w:rPr>
        <w:t>En ce qui concerne le chapeau et les différents paragraphes de l’article XX, il convient de constater une différence de structure entre ces deux parties</w:t>
      </w:r>
      <w:r>
        <w:rPr>
          <w:rStyle w:val="Marquenotebasdepage"/>
          <w:rFonts w:ascii="Times New Roman" w:hAnsi="Times New Roman" w:cs="Times New Roman"/>
        </w:rPr>
        <w:footnoteReference w:id="205"/>
      </w:r>
      <w:r>
        <w:rPr>
          <w:rFonts w:ascii="Times New Roman" w:hAnsi="Times New Roman" w:cs="Times New Roman"/>
        </w:rPr>
        <w:t>. Alors que le chapeau porte sur la manière dont les mesures doivent être appliquées</w:t>
      </w:r>
      <w:r>
        <w:rPr>
          <w:rStyle w:val="Marquenotebasdepage"/>
          <w:rFonts w:ascii="Times New Roman" w:hAnsi="Times New Roman" w:cs="Times New Roman"/>
        </w:rPr>
        <w:footnoteReference w:id="206"/>
      </w:r>
      <w:r>
        <w:rPr>
          <w:rFonts w:ascii="Times New Roman" w:hAnsi="Times New Roman" w:cs="Times New Roman"/>
        </w:rPr>
        <w:t>, les paragraphes traitent quant à eux des mesures en tant que telles et énoncent ainsi les « objectifs de politique générale que les Etats peuvent poursuivre »</w:t>
      </w:r>
      <w:r>
        <w:rPr>
          <w:rStyle w:val="Marquenotebasdepage"/>
          <w:rFonts w:ascii="Times New Roman" w:hAnsi="Times New Roman" w:cs="Times New Roman"/>
        </w:rPr>
        <w:footnoteReference w:id="207"/>
      </w:r>
      <w:r>
        <w:rPr>
          <w:rFonts w:ascii="Times New Roman" w:hAnsi="Times New Roman" w:cs="Times New Roman"/>
        </w:rPr>
        <w:t>, « les conditions de ces mesures »</w:t>
      </w:r>
      <w:r>
        <w:rPr>
          <w:rStyle w:val="Marquenotebasdepage"/>
          <w:rFonts w:ascii="Times New Roman" w:hAnsi="Times New Roman" w:cs="Times New Roman"/>
        </w:rPr>
        <w:footnoteReference w:id="208"/>
      </w:r>
      <w:r>
        <w:rPr>
          <w:rFonts w:ascii="Times New Roman" w:hAnsi="Times New Roman" w:cs="Times New Roman"/>
        </w:rPr>
        <w:t xml:space="preserve">. L’interprétation du chapeau de l’article XX faite par l’Organe d’appel ainsi que la charge de la preuve qui pèse sur le Membre en cause </w:t>
      </w:r>
      <w:r w:rsidRPr="007A29B5">
        <w:rPr>
          <w:rFonts w:ascii="Times New Roman" w:hAnsi="Times New Roman" w:cs="Times New Roman"/>
        </w:rPr>
        <w:t>permettent d’apprécier l’intérêt</w:t>
      </w:r>
      <w:r>
        <w:rPr>
          <w:rFonts w:ascii="Times New Roman" w:hAnsi="Times New Roman" w:cs="Times New Roman"/>
        </w:rPr>
        <w:t xml:space="preserve"> que le juge d’appel apporte à la manière dont les Etats appliquent ces mesures</w:t>
      </w:r>
      <w:r>
        <w:rPr>
          <w:rStyle w:val="Marquenotebasdepage"/>
          <w:rFonts w:ascii="Times New Roman" w:hAnsi="Times New Roman" w:cs="Times New Roman"/>
        </w:rPr>
        <w:footnoteReference w:id="209"/>
      </w:r>
      <w:r>
        <w:rPr>
          <w:rFonts w:ascii="Times New Roman" w:hAnsi="Times New Roman" w:cs="Times New Roman"/>
        </w:rPr>
        <w:t xml:space="preserve">. De plus, il faut constater que l’OMC a créé un </w:t>
      </w:r>
      <w:r w:rsidRPr="0003321B">
        <w:rPr>
          <w:rFonts w:ascii="Times New Roman" w:hAnsi="Times New Roman" w:cs="Times New Roman"/>
          <w:i/>
        </w:rPr>
        <w:t>« ordre public économique international dont la survie dépend de l’équilibre entre les droits et les obligations reconnus aux Membres »</w:t>
      </w:r>
      <w:r>
        <w:rPr>
          <w:rStyle w:val="Marquenotebasdepage"/>
          <w:rFonts w:ascii="Times New Roman" w:hAnsi="Times New Roman" w:cs="Times New Roman"/>
        </w:rPr>
        <w:footnoteReference w:id="210"/>
      </w:r>
      <w:r>
        <w:rPr>
          <w:rFonts w:ascii="Times New Roman" w:hAnsi="Times New Roman" w:cs="Times New Roman"/>
        </w:rPr>
        <w:t>. Si les Membres abusent des droits qui leur sont reconnus, cet équilibre viendrait à se rompre. Dès lors, l’interprétation du chapeau de l’article XX, qui est destinée à prévenir les abus, même s’ils sont de bonne foi, prend tout son sens</w:t>
      </w:r>
      <w:r>
        <w:rPr>
          <w:rStyle w:val="Marquenotebasdepage"/>
          <w:rFonts w:ascii="Times New Roman" w:hAnsi="Times New Roman" w:cs="Times New Roman"/>
        </w:rPr>
        <w:footnoteReference w:id="211"/>
      </w:r>
      <w:r>
        <w:rPr>
          <w:rFonts w:ascii="Times New Roman" w:hAnsi="Times New Roman" w:cs="Times New Roman"/>
        </w:rPr>
        <w:t>.</w:t>
      </w:r>
    </w:p>
    <w:p w14:paraId="6A6360E9" w14:textId="77777777" w:rsidR="00105FCE" w:rsidRDefault="00105FCE" w:rsidP="00105FCE">
      <w:pPr>
        <w:spacing w:line="360" w:lineRule="auto"/>
        <w:ind w:firstLine="708"/>
        <w:jc w:val="both"/>
        <w:rPr>
          <w:rFonts w:ascii="Times New Roman" w:hAnsi="Times New Roman" w:cs="Times New Roman"/>
        </w:rPr>
      </w:pPr>
    </w:p>
    <w:p w14:paraId="34ED765C" w14:textId="449191BB" w:rsidR="00105FCE" w:rsidRPr="00105FCE" w:rsidRDefault="00105FCE" w:rsidP="00EF6928">
      <w:pPr>
        <w:spacing w:line="360" w:lineRule="auto"/>
        <w:jc w:val="both"/>
        <w:rPr>
          <w:rFonts w:ascii="Times New Roman" w:hAnsi="Times New Roman" w:cs="Times New Roman"/>
        </w:rPr>
      </w:pPr>
      <w:r>
        <w:rPr>
          <w:rFonts w:ascii="Times New Roman" w:hAnsi="Times New Roman" w:cs="Times New Roman"/>
        </w:rPr>
        <w:t>Il faut toutefois souligner que la nécessité d’invoquer l’article XX et le fait de justifier une mesure à ce titre est requis uniquement si une violation de l’Accord est établie</w:t>
      </w:r>
      <w:r>
        <w:rPr>
          <w:rStyle w:val="Marquenotebasdepage"/>
          <w:rFonts w:ascii="Times New Roman" w:hAnsi="Times New Roman" w:cs="Times New Roman"/>
        </w:rPr>
        <w:footnoteReference w:id="212"/>
      </w:r>
      <w:r>
        <w:rPr>
          <w:rFonts w:ascii="Times New Roman" w:hAnsi="Times New Roman" w:cs="Times New Roman"/>
        </w:rPr>
        <w:t>. Ainsi, ce n’est que dans l’hypothèse où «</w:t>
      </w:r>
      <w:r w:rsidRPr="00946703">
        <w:rPr>
          <w:rFonts w:ascii="Times New Roman" w:hAnsi="Times New Roman" w:cs="Times New Roman"/>
          <w:i/>
        </w:rPr>
        <w:t> la mesure constitue une violation des principes de l’Accord (…) que la preuve que la mesure entre dans le champ d’application de l’article XX devient nécessaire »</w:t>
      </w:r>
      <w:r>
        <w:rPr>
          <w:rStyle w:val="Marquenotebasdepage"/>
          <w:rFonts w:ascii="Times New Roman" w:hAnsi="Times New Roman" w:cs="Times New Roman"/>
        </w:rPr>
        <w:footnoteReference w:id="213"/>
      </w:r>
      <w:r>
        <w:rPr>
          <w:rFonts w:ascii="Times New Roman" w:hAnsi="Times New Roman" w:cs="Times New Roman"/>
        </w:rPr>
        <w:t>.</w:t>
      </w:r>
    </w:p>
    <w:p w14:paraId="5D60AD84" w14:textId="77777777" w:rsidR="007E3317" w:rsidRPr="007E3317" w:rsidRDefault="007E3317" w:rsidP="007E3317">
      <w:pPr>
        <w:spacing w:line="360" w:lineRule="auto"/>
        <w:ind w:firstLine="708"/>
        <w:jc w:val="both"/>
        <w:rPr>
          <w:rFonts w:ascii="Times New Roman" w:hAnsi="Times New Roman"/>
        </w:rPr>
      </w:pPr>
    </w:p>
    <w:p w14:paraId="192F2D29" w14:textId="6C75521F" w:rsidR="0098266F" w:rsidRPr="00B51836" w:rsidRDefault="000D5EB1" w:rsidP="00930500">
      <w:pPr>
        <w:spacing w:line="360" w:lineRule="auto"/>
        <w:ind w:firstLine="360"/>
        <w:jc w:val="both"/>
        <w:rPr>
          <w:rFonts w:ascii="Times New Roman" w:hAnsi="Times New Roman"/>
          <w:b/>
        </w:rPr>
      </w:pPr>
      <w:r>
        <w:rPr>
          <w:rFonts w:ascii="Times New Roman" w:hAnsi="Times New Roman"/>
          <w:b/>
        </w:rPr>
        <w:t>II</w:t>
      </w:r>
      <w:r w:rsidR="005D4E81">
        <w:rPr>
          <w:rFonts w:ascii="Times New Roman" w:hAnsi="Times New Roman"/>
          <w:b/>
        </w:rPr>
        <w:t>I</w:t>
      </w:r>
      <w:r w:rsidR="0098266F">
        <w:rPr>
          <w:rFonts w:ascii="Times New Roman" w:hAnsi="Times New Roman"/>
          <w:b/>
        </w:rPr>
        <w:t>. Le chapeau</w:t>
      </w:r>
      <w:r w:rsidR="0098266F" w:rsidRPr="00B51836">
        <w:rPr>
          <w:rFonts w:ascii="Times New Roman" w:hAnsi="Times New Roman"/>
          <w:b/>
        </w:rPr>
        <w:t xml:space="preserve"> de l’article XX</w:t>
      </w:r>
    </w:p>
    <w:p w14:paraId="41E44527" w14:textId="41AE3B4A" w:rsidR="0098266F" w:rsidRPr="007E3317" w:rsidRDefault="0098266F" w:rsidP="007E3317">
      <w:pPr>
        <w:pStyle w:val="Paragraphedeliste"/>
        <w:numPr>
          <w:ilvl w:val="0"/>
          <w:numId w:val="15"/>
        </w:numPr>
        <w:tabs>
          <w:tab w:val="left" w:pos="7720"/>
        </w:tabs>
        <w:spacing w:line="360" w:lineRule="auto"/>
        <w:jc w:val="both"/>
        <w:rPr>
          <w:rFonts w:ascii="Times New Roman" w:hAnsi="Times New Roman" w:cs="Times New Roman"/>
          <w:b/>
        </w:rPr>
      </w:pPr>
      <w:r w:rsidRPr="007E3317">
        <w:rPr>
          <w:rFonts w:ascii="Times New Roman" w:hAnsi="Times New Roman" w:cs="Times New Roman"/>
          <w:b/>
        </w:rPr>
        <w:t>Fonction et champ d’application du chapeau</w:t>
      </w:r>
    </w:p>
    <w:p w14:paraId="4A1CAE70" w14:textId="372814A8" w:rsidR="00846860" w:rsidRDefault="0098266F" w:rsidP="0098266F">
      <w:pPr>
        <w:tabs>
          <w:tab w:val="left" w:pos="7720"/>
        </w:tabs>
        <w:spacing w:line="360" w:lineRule="auto"/>
        <w:jc w:val="both"/>
        <w:rPr>
          <w:rFonts w:ascii="Times New Roman" w:hAnsi="Times New Roman" w:cs="Times New Roman"/>
        </w:rPr>
      </w:pPr>
      <w:r w:rsidRPr="008310F5">
        <w:rPr>
          <w:rFonts w:ascii="Times New Roman" w:hAnsi="Times New Roman" w:cs="Times New Roman"/>
        </w:rPr>
        <w:t xml:space="preserve">Dans le cadre du GATT, seuls les deux premiers groupes spéciaux qui ont traité de l’article XX se sont penchés sur l’analyse du chapeau. En effet, cela tend à s’expliquer par le fait que ce n’est </w:t>
      </w:r>
      <w:r w:rsidRPr="007E3317">
        <w:rPr>
          <w:rFonts w:ascii="Times New Roman" w:hAnsi="Times New Roman" w:cs="Times New Roman"/>
        </w:rPr>
        <w:t xml:space="preserve">qu’ultérieurement </w:t>
      </w:r>
      <w:r w:rsidRPr="008310F5">
        <w:rPr>
          <w:rFonts w:ascii="Times New Roman" w:hAnsi="Times New Roman" w:cs="Times New Roman"/>
        </w:rPr>
        <w:t xml:space="preserve">que les Groupes spéciaux ont </w:t>
      </w:r>
      <w:r w:rsidR="008310F5">
        <w:rPr>
          <w:rFonts w:ascii="Times New Roman" w:hAnsi="Times New Roman" w:cs="Times New Roman"/>
        </w:rPr>
        <w:t>adopté l’approche consistant à analyser</w:t>
      </w:r>
      <w:r w:rsidRPr="008310F5">
        <w:rPr>
          <w:rFonts w:ascii="Times New Roman" w:hAnsi="Times New Roman" w:cs="Times New Roman"/>
        </w:rPr>
        <w:t xml:space="preserve"> </w:t>
      </w:r>
      <w:r w:rsidR="008310F5">
        <w:rPr>
          <w:rFonts w:ascii="Times New Roman" w:hAnsi="Times New Roman" w:cs="Times New Roman"/>
        </w:rPr>
        <w:t xml:space="preserve">en premier lieu </w:t>
      </w:r>
      <w:r w:rsidRPr="008310F5">
        <w:rPr>
          <w:rFonts w:ascii="Times New Roman" w:hAnsi="Times New Roman" w:cs="Times New Roman"/>
        </w:rPr>
        <w:t xml:space="preserve">si la mesure incriminée était visée par une des dix exceptions de l’article XX. </w:t>
      </w:r>
      <w:r w:rsidRPr="000168E7">
        <w:rPr>
          <w:rFonts w:ascii="Times New Roman" w:hAnsi="Times New Roman" w:cs="Times New Roman"/>
        </w:rPr>
        <w:t>Cependant, aucun</w:t>
      </w:r>
      <w:r w:rsidRPr="008310F5">
        <w:rPr>
          <w:rFonts w:ascii="Times New Roman" w:hAnsi="Times New Roman" w:cs="Times New Roman"/>
        </w:rPr>
        <w:t xml:space="preserve"> examen du chapeau n’avait encore été réalisé</w:t>
      </w:r>
      <w:r w:rsidR="0054134C">
        <w:rPr>
          <w:rStyle w:val="Marquenotebasdepage"/>
          <w:rFonts w:ascii="Times New Roman" w:hAnsi="Times New Roman" w:cs="Times New Roman"/>
        </w:rPr>
        <w:footnoteReference w:id="214"/>
      </w:r>
      <w:r w:rsidRPr="008310F5">
        <w:rPr>
          <w:rFonts w:ascii="Times New Roman" w:hAnsi="Times New Roman" w:cs="Times New Roman"/>
        </w:rPr>
        <w:t xml:space="preserve"> jusqu’à l’affaire </w:t>
      </w:r>
      <w:r w:rsidRPr="008310F5">
        <w:rPr>
          <w:rFonts w:ascii="Times New Roman" w:hAnsi="Times New Roman" w:cs="Times New Roman"/>
          <w:i/>
        </w:rPr>
        <w:t>Essence</w:t>
      </w:r>
      <w:r w:rsidRPr="008310F5">
        <w:rPr>
          <w:rFonts w:ascii="Times New Roman" w:hAnsi="Times New Roman" w:cs="Times New Roman"/>
        </w:rPr>
        <w:t xml:space="preserve"> étant</w:t>
      </w:r>
      <w:r w:rsidR="0054134C">
        <w:rPr>
          <w:rFonts w:ascii="Times New Roman" w:hAnsi="Times New Roman" w:cs="Times New Roman"/>
        </w:rPr>
        <w:t xml:space="preserve"> donné que les mesures en ca</w:t>
      </w:r>
      <w:r w:rsidRPr="008310F5">
        <w:rPr>
          <w:rFonts w:ascii="Times New Roman" w:hAnsi="Times New Roman" w:cs="Times New Roman"/>
        </w:rPr>
        <w:t>use n’étaient pas considérées comme justifiée</w:t>
      </w:r>
      <w:r w:rsidR="008E094E" w:rsidRPr="008310F5">
        <w:rPr>
          <w:rFonts w:ascii="Times New Roman" w:hAnsi="Times New Roman" w:cs="Times New Roman"/>
        </w:rPr>
        <w:t>s</w:t>
      </w:r>
      <w:r w:rsidRPr="008310F5">
        <w:rPr>
          <w:rFonts w:ascii="Times New Roman" w:hAnsi="Times New Roman" w:cs="Times New Roman"/>
        </w:rPr>
        <w:t xml:space="preserve"> au titre de l’une des exceptions</w:t>
      </w:r>
      <w:r w:rsidRPr="008310F5">
        <w:rPr>
          <w:rStyle w:val="Marquenotebasdepage"/>
          <w:rFonts w:ascii="Times New Roman" w:hAnsi="Times New Roman" w:cs="Times New Roman"/>
        </w:rPr>
        <w:footnoteReference w:id="215"/>
      </w:r>
      <w:r w:rsidRPr="008310F5">
        <w:rPr>
          <w:rFonts w:ascii="Times New Roman" w:hAnsi="Times New Roman" w:cs="Times New Roman"/>
        </w:rPr>
        <w:t xml:space="preserve">. </w:t>
      </w:r>
    </w:p>
    <w:p w14:paraId="0B30561B" w14:textId="77777777" w:rsidR="00846860" w:rsidRDefault="00846860" w:rsidP="0098266F">
      <w:pPr>
        <w:tabs>
          <w:tab w:val="left" w:pos="7720"/>
        </w:tabs>
        <w:spacing w:line="360" w:lineRule="auto"/>
        <w:jc w:val="both"/>
        <w:rPr>
          <w:rFonts w:ascii="Times New Roman" w:hAnsi="Times New Roman" w:cs="Times New Roman"/>
        </w:rPr>
      </w:pPr>
    </w:p>
    <w:p w14:paraId="6D3DB90A" w14:textId="5A0DE7B3" w:rsidR="0098266F" w:rsidRDefault="008D7589" w:rsidP="0098266F">
      <w:pPr>
        <w:tabs>
          <w:tab w:val="left" w:pos="7720"/>
        </w:tabs>
        <w:spacing w:line="360" w:lineRule="auto"/>
        <w:jc w:val="both"/>
        <w:rPr>
          <w:rFonts w:ascii="Times New Roman" w:hAnsi="Times New Roman" w:cs="Times New Roman"/>
        </w:rPr>
      </w:pPr>
      <w:r>
        <w:rPr>
          <w:rFonts w:ascii="Times New Roman" w:hAnsi="Times New Roman" w:cs="Times New Roman"/>
        </w:rPr>
        <w:t xml:space="preserve">Dans </w:t>
      </w:r>
      <w:r w:rsidR="00926974" w:rsidRPr="000168E7">
        <w:rPr>
          <w:rFonts w:ascii="Times New Roman" w:hAnsi="Times New Roman" w:cs="Times New Roman"/>
        </w:rPr>
        <w:t xml:space="preserve">l’affaire </w:t>
      </w:r>
      <w:r w:rsidR="00926974" w:rsidRPr="000168E7">
        <w:rPr>
          <w:rFonts w:ascii="Times New Roman" w:hAnsi="Times New Roman" w:cs="Times New Roman"/>
          <w:i/>
        </w:rPr>
        <w:t>« </w:t>
      </w:r>
      <w:r w:rsidR="00926974" w:rsidRPr="000168E7">
        <w:rPr>
          <w:rFonts w:ascii="Times New Roman" w:hAnsi="Times New Roman" w:cs="Times New Roman"/>
          <w:i/>
          <w:lang w:val="nl-NL"/>
        </w:rPr>
        <w:t>Etats-Unis – Importations de certains assemblages de ressorts pour automobiles</w:t>
      </w:r>
      <w:r w:rsidR="00926974" w:rsidRPr="000168E7">
        <w:rPr>
          <w:rFonts w:ascii="Times New Roman" w:hAnsi="Times New Roman" w:cs="Times New Roman"/>
          <w:i/>
        </w:rPr>
        <w:t> »</w:t>
      </w:r>
      <w:r w:rsidR="007E3317" w:rsidRPr="000168E7">
        <w:rPr>
          <w:rStyle w:val="Marquenotebasdepage"/>
          <w:rFonts w:ascii="Times New Roman" w:hAnsi="Times New Roman" w:cs="Times New Roman"/>
          <w:i/>
        </w:rPr>
        <w:footnoteReference w:id="216"/>
      </w:r>
      <w:r w:rsidR="00926974" w:rsidRPr="000168E7">
        <w:rPr>
          <w:rFonts w:ascii="Times New Roman" w:hAnsi="Times New Roman" w:cs="Times New Roman"/>
        </w:rPr>
        <w:t>,</w:t>
      </w:r>
      <w:r w:rsidR="00926974">
        <w:rPr>
          <w:rFonts w:ascii="Times New Roman" w:hAnsi="Times New Roman" w:cs="Times New Roman"/>
        </w:rPr>
        <w:t xml:space="preserve"> </w:t>
      </w:r>
      <w:r w:rsidR="00846860">
        <w:rPr>
          <w:rFonts w:ascii="Times New Roman" w:hAnsi="Times New Roman" w:cs="Times New Roman"/>
        </w:rPr>
        <w:t>le Groupe spécial a affirmé qu’ « il ressort clairement du préambule de l’article XX qu’il faut examiner l’application de la mesure et non pas la mesure elle-même »</w:t>
      </w:r>
      <w:r w:rsidR="00846860">
        <w:rPr>
          <w:rStyle w:val="Marquenotebasdepage"/>
          <w:rFonts w:ascii="Times New Roman" w:hAnsi="Times New Roman" w:cs="Times New Roman"/>
        </w:rPr>
        <w:footnoteReference w:id="217"/>
      </w:r>
      <w:r w:rsidR="00846860">
        <w:rPr>
          <w:rFonts w:ascii="Times New Roman" w:hAnsi="Times New Roman" w:cs="Times New Roman"/>
        </w:rPr>
        <w:t xml:space="preserve">. </w:t>
      </w:r>
      <w:r w:rsidR="0098266F" w:rsidRPr="007E3317">
        <w:rPr>
          <w:rFonts w:ascii="Times New Roman" w:hAnsi="Times New Roman" w:cs="Times New Roman"/>
        </w:rPr>
        <w:t xml:space="preserve">Il convient également de mentionner, eu égard à l’affaire </w:t>
      </w:r>
      <w:r w:rsidR="0098266F" w:rsidRPr="007E3317">
        <w:rPr>
          <w:rFonts w:ascii="Times New Roman" w:hAnsi="Times New Roman" w:cs="Times New Roman"/>
          <w:i/>
        </w:rPr>
        <w:t>Essence</w:t>
      </w:r>
      <w:r w:rsidR="0098266F" w:rsidRPr="007E3317">
        <w:rPr>
          <w:rFonts w:ascii="Times New Roman" w:hAnsi="Times New Roman" w:cs="Times New Roman"/>
        </w:rPr>
        <w:t xml:space="preserve"> notamment</w:t>
      </w:r>
      <w:r w:rsidR="0098266F" w:rsidRPr="007E3317">
        <w:rPr>
          <w:rStyle w:val="Marquenotebasdepage"/>
          <w:rFonts w:ascii="Times New Roman" w:hAnsi="Times New Roman" w:cs="Times New Roman"/>
        </w:rPr>
        <w:footnoteReference w:id="218"/>
      </w:r>
      <w:r w:rsidR="0098266F" w:rsidRPr="007E3317">
        <w:rPr>
          <w:rFonts w:ascii="Times New Roman" w:hAnsi="Times New Roman" w:cs="Times New Roman"/>
        </w:rPr>
        <w:t xml:space="preserve">, que </w:t>
      </w:r>
      <w:r w:rsidR="0098266F" w:rsidRPr="007E3317">
        <w:rPr>
          <w:rFonts w:ascii="Times New Roman" w:hAnsi="Times New Roman" w:cs="Times New Roman"/>
          <w:i/>
        </w:rPr>
        <w:t xml:space="preserve">« le texte introductif ne s’applique expressément </w:t>
      </w:r>
      <w:r w:rsidR="007E3317" w:rsidRPr="007E3317">
        <w:rPr>
          <w:rFonts w:ascii="Times New Roman" w:hAnsi="Times New Roman" w:cs="Times New Roman"/>
          <w:i/>
        </w:rPr>
        <w:t xml:space="preserve">non pas tant à la mesure en cause </w:t>
      </w:r>
      <w:r w:rsidR="0098266F" w:rsidRPr="007E3317">
        <w:rPr>
          <w:rFonts w:ascii="Times New Roman" w:hAnsi="Times New Roman" w:cs="Times New Roman"/>
          <w:i/>
        </w:rPr>
        <w:t>ou à sa teneur spécifique proprement dite, mais plutôt dans la manière dont la mesure est appliquée »</w:t>
      </w:r>
      <w:r w:rsidR="0098266F" w:rsidRPr="007E3317">
        <w:rPr>
          <w:rStyle w:val="Marquenotebasdepage"/>
          <w:rFonts w:ascii="Times New Roman" w:hAnsi="Times New Roman" w:cs="Times New Roman"/>
        </w:rPr>
        <w:footnoteReference w:id="219"/>
      </w:r>
      <w:r w:rsidR="0098266F" w:rsidRPr="007E3317">
        <w:rPr>
          <w:rFonts w:ascii="Times New Roman" w:hAnsi="Times New Roman" w:cs="Times New Roman"/>
        </w:rPr>
        <w:t>.</w:t>
      </w:r>
      <w:r w:rsidR="00630C68" w:rsidRPr="007E3317">
        <w:rPr>
          <w:rFonts w:ascii="Times New Roman" w:hAnsi="Times New Roman" w:cs="Times New Roman"/>
        </w:rPr>
        <w:t xml:space="preserve"> </w:t>
      </w:r>
      <w:r w:rsidR="00846860">
        <w:rPr>
          <w:rFonts w:ascii="Times New Roman" w:hAnsi="Times New Roman" w:cs="Times New Roman"/>
        </w:rPr>
        <w:t xml:space="preserve">Dans l’affaire Crevettes, </w:t>
      </w:r>
      <w:r w:rsidR="0096764D">
        <w:rPr>
          <w:rFonts w:ascii="Times New Roman" w:hAnsi="Times New Roman" w:cs="Times New Roman"/>
        </w:rPr>
        <w:t>l’Organe d’appel a</w:t>
      </w:r>
      <w:r w:rsidR="00904F6B">
        <w:rPr>
          <w:rFonts w:ascii="Times New Roman" w:hAnsi="Times New Roman" w:cs="Times New Roman"/>
        </w:rPr>
        <w:t>,</w:t>
      </w:r>
      <w:r w:rsidR="0096764D">
        <w:rPr>
          <w:rFonts w:ascii="Times New Roman" w:hAnsi="Times New Roman" w:cs="Times New Roman"/>
        </w:rPr>
        <w:t xml:space="preserve"> quant à lui</w:t>
      </w:r>
      <w:r w:rsidR="00904F6B">
        <w:rPr>
          <w:rFonts w:ascii="Times New Roman" w:hAnsi="Times New Roman" w:cs="Times New Roman"/>
        </w:rPr>
        <w:t>,</w:t>
      </w:r>
      <w:r w:rsidR="0096764D">
        <w:rPr>
          <w:rFonts w:ascii="Times New Roman" w:hAnsi="Times New Roman" w:cs="Times New Roman"/>
        </w:rPr>
        <w:t xml:space="preserve"> énoncé que lors de l’examen de la compatibilité d’une mesure avec le chapeau, « il faut laisser de côté les questions relatives à l’objectif général de la mesure considérée »</w:t>
      </w:r>
      <w:r w:rsidR="0096764D">
        <w:rPr>
          <w:rStyle w:val="Marquenotebasdepage"/>
          <w:rFonts w:ascii="Times New Roman" w:hAnsi="Times New Roman" w:cs="Times New Roman"/>
        </w:rPr>
        <w:footnoteReference w:id="220"/>
      </w:r>
      <w:r w:rsidR="0096764D">
        <w:rPr>
          <w:rFonts w:ascii="Times New Roman" w:hAnsi="Times New Roman" w:cs="Times New Roman"/>
        </w:rPr>
        <w:t>.</w:t>
      </w:r>
    </w:p>
    <w:p w14:paraId="73F0A699" w14:textId="77777777" w:rsidR="0098266F" w:rsidRPr="0089681E" w:rsidRDefault="0098266F" w:rsidP="008953AA">
      <w:pPr>
        <w:spacing w:line="360" w:lineRule="auto"/>
        <w:rPr>
          <w:rFonts w:ascii="Times New Roman" w:hAnsi="Times New Roman" w:cs="Times New Roman"/>
          <w:b/>
        </w:rPr>
      </w:pPr>
    </w:p>
    <w:p w14:paraId="7D55CD6F" w14:textId="55CCE7CA" w:rsidR="00B64AFA" w:rsidRDefault="00D57E94" w:rsidP="007F73E9">
      <w:pPr>
        <w:spacing w:line="360" w:lineRule="auto"/>
        <w:ind w:firstLine="708"/>
        <w:jc w:val="both"/>
        <w:rPr>
          <w:rFonts w:ascii="Times New Roman" w:hAnsi="Times New Roman" w:cs="Times New Roman"/>
          <w:i/>
        </w:rPr>
      </w:pPr>
      <w:r>
        <w:rPr>
          <w:rFonts w:ascii="Times New Roman" w:hAnsi="Times New Roman" w:cs="Times New Roman"/>
        </w:rPr>
        <w:t xml:space="preserve">Il </w:t>
      </w:r>
      <w:r w:rsidR="0003321B">
        <w:rPr>
          <w:rFonts w:ascii="Times New Roman" w:hAnsi="Times New Roman" w:cs="Times New Roman"/>
        </w:rPr>
        <w:t>convient de</w:t>
      </w:r>
      <w:r w:rsidR="008953AA">
        <w:rPr>
          <w:rFonts w:ascii="Times New Roman" w:hAnsi="Times New Roman" w:cs="Times New Roman"/>
        </w:rPr>
        <w:t xml:space="preserve"> souligner </w:t>
      </w:r>
      <w:r>
        <w:rPr>
          <w:rFonts w:ascii="Times New Roman" w:hAnsi="Times New Roman" w:cs="Times New Roman"/>
        </w:rPr>
        <w:t xml:space="preserve">que </w:t>
      </w:r>
      <w:r w:rsidR="008953AA">
        <w:rPr>
          <w:rFonts w:ascii="Times New Roman" w:hAnsi="Times New Roman" w:cs="Times New Roman"/>
        </w:rPr>
        <w:t>l’importance de la fonction du chapeau de l’article XX</w:t>
      </w:r>
      <w:r w:rsidR="008E094E">
        <w:rPr>
          <w:rFonts w:ascii="Times New Roman" w:hAnsi="Times New Roman" w:cs="Times New Roman"/>
        </w:rPr>
        <w:t>,</w:t>
      </w:r>
      <w:r w:rsidR="008953AA">
        <w:rPr>
          <w:rFonts w:ascii="Times New Roman" w:hAnsi="Times New Roman" w:cs="Times New Roman"/>
        </w:rPr>
        <w:t xml:space="preserve"> qui est d’éviter tout abus dans l’usage des exceptions afin de préserver l’équilibre entre les droits et obligations que les Membres de l’OMC tiennent des Accords</w:t>
      </w:r>
      <w:r w:rsidR="003B5B66">
        <w:rPr>
          <w:rStyle w:val="Marquenotebasdepage"/>
          <w:rFonts w:ascii="Times New Roman" w:hAnsi="Times New Roman" w:cs="Times New Roman"/>
        </w:rPr>
        <w:footnoteReference w:id="221"/>
      </w:r>
      <w:r>
        <w:rPr>
          <w:rFonts w:ascii="Times New Roman" w:hAnsi="Times New Roman" w:cs="Times New Roman"/>
        </w:rPr>
        <w:t xml:space="preserve">, a été mise clairement en évidence dans l’affaire </w:t>
      </w:r>
      <w:r w:rsidRPr="0003321B">
        <w:rPr>
          <w:rFonts w:ascii="Times New Roman" w:hAnsi="Times New Roman" w:cs="Times New Roman"/>
          <w:i/>
        </w:rPr>
        <w:t>Essence</w:t>
      </w:r>
      <w:r>
        <w:rPr>
          <w:rStyle w:val="Marquenotebasdepage"/>
          <w:rFonts w:ascii="Times New Roman" w:hAnsi="Times New Roman" w:cs="Times New Roman"/>
        </w:rPr>
        <w:footnoteReference w:id="222"/>
      </w:r>
      <w:r w:rsidR="008953AA">
        <w:rPr>
          <w:rFonts w:ascii="Times New Roman" w:hAnsi="Times New Roman" w:cs="Times New Roman"/>
        </w:rPr>
        <w:t>. Ainsi,</w:t>
      </w:r>
      <w:r>
        <w:rPr>
          <w:rFonts w:ascii="Times New Roman" w:hAnsi="Times New Roman" w:cs="Times New Roman"/>
        </w:rPr>
        <w:t xml:space="preserve"> </w:t>
      </w:r>
      <w:r w:rsidR="008953AA">
        <w:rPr>
          <w:rFonts w:ascii="Times New Roman" w:hAnsi="Times New Roman" w:cs="Times New Roman"/>
        </w:rPr>
        <w:t xml:space="preserve">l’Organe d’appel a noté que </w:t>
      </w:r>
      <w:r w:rsidR="008953AA" w:rsidRPr="000D1DE1">
        <w:rPr>
          <w:rFonts w:ascii="Times New Roman" w:hAnsi="Times New Roman" w:cs="Times New Roman"/>
          <w:i/>
        </w:rPr>
        <w:t>« le but et l’objet des clauses introductives de l’article XX est généralement de prévenir l’abus des exceptions énumérées à l’article XX »</w:t>
      </w:r>
      <w:r w:rsidR="008953AA">
        <w:rPr>
          <w:rStyle w:val="Marquenotebasdepage"/>
          <w:rFonts w:ascii="Times New Roman" w:hAnsi="Times New Roman" w:cs="Times New Roman"/>
        </w:rPr>
        <w:footnoteReference w:id="223"/>
      </w:r>
      <w:r w:rsidR="008953AA">
        <w:rPr>
          <w:rFonts w:ascii="Times New Roman" w:hAnsi="Times New Roman" w:cs="Times New Roman"/>
        </w:rPr>
        <w:t xml:space="preserve"> et que </w:t>
      </w:r>
      <w:r w:rsidR="008953AA" w:rsidRPr="000D1DE1">
        <w:rPr>
          <w:rFonts w:ascii="Times New Roman" w:hAnsi="Times New Roman" w:cs="Times New Roman"/>
          <w:i/>
        </w:rPr>
        <w:t>« l’élément fondamental se trouve dans</w:t>
      </w:r>
      <w:r w:rsidR="0021717D">
        <w:rPr>
          <w:rFonts w:ascii="Times New Roman" w:hAnsi="Times New Roman" w:cs="Times New Roman"/>
          <w:i/>
        </w:rPr>
        <w:t xml:space="preserve"> le but et l’objet, qui sont d’é</w:t>
      </w:r>
      <w:r w:rsidR="008953AA" w:rsidRPr="000D1DE1">
        <w:rPr>
          <w:rFonts w:ascii="Times New Roman" w:hAnsi="Times New Roman" w:cs="Times New Roman"/>
          <w:i/>
        </w:rPr>
        <w:t>viter l’abus ou l’utilisation des exceptions aux règles de fond prévues à l’article XX »</w:t>
      </w:r>
      <w:r w:rsidR="008953AA">
        <w:rPr>
          <w:rStyle w:val="Marquenotebasdepage"/>
          <w:rFonts w:ascii="Times New Roman" w:hAnsi="Times New Roman" w:cs="Times New Roman"/>
        </w:rPr>
        <w:footnoteReference w:id="224"/>
      </w:r>
      <w:r w:rsidR="008953AA">
        <w:rPr>
          <w:rFonts w:ascii="Times New Roman" w:hAnsi="Times New Roman" w:cs="Times New Roman"/>
        </w:rPr>
        <w:t>. L’Or</w:t>
      </w:r>
      <w:r w:rsidR="003B5B66">
        <w:rPr>
          <w:rFonts w:ascii="Times New Roman" w:hAnsi="Times New Roman" w:cs="Times New Roman"/>
        </w:rPr>
        <w:t xml:space="preserve">gane d’appel a ensuite eu égard </w:t>
      </w:r>
      <w:r w:rsidR="008953AA">
        <w:rPr>
          <w:rFonts w:ascii="Times New Roman" w:hAnsi="Times New Roman" w:cs="Times New Roman"/>
        </w:rPr>
        <w:t>à l’historique</w:t>
      </w:r>
      <w:r w:rsidR="003B5B66">
        <w:rPr>
          <w:rFonts w:ascii="Times New Roman" w:hAnsi="Times New Roman" w:cs="Times New Roman"/>
        </w:rPr>
        <w:t xml:space="preserve"> de la rédaction de cet article</w:t>
      </w:r>
      <w:r w:rsidR="003B5B66" w:rsidRPr="005522CF">
        <w:rPr>
          <w:rStyle w:val="Marquenotebasdepage"/>
          <w:rFonts w:ascii="Times New Roman" w:hAnsi="Times New Roman" w:cs="Times New Roman"/>
        </w:rPr>
        <w:footnoteReference w:id="225"/>
      </w:r>
      <w:r w:rsidR="007C3833">
        <w:rPr>
          <w:rFonts w:ascii="Times New Roman" w:hAnsi="Times New Roman" w:cs="Times New Roman"/>
        </w:rPr>
        <w:t xml:space="preserve"> et</w:t>
      </w:r>
      <w:r w:rsidR="008953AA">
        <w:rPr>
          <w:rFonts w:ascii="Times New Roman" w:hAnsi="Times New Roman" w:cs="Times New Roman"/>
        </w:rPr>
        <w:t xml:space="preserve"> a énoncé ce qui suit : </w:t>
      </w:r>
      <w:r w:rsidR="008953AA" w:rsidRPr="000D1DE1">
        <w:rPr>
          <w:rFonts w:ascii="Times New Roman" w:hAnsi="Times New Roman" w:cs="Times New Roman"/>
          <w:i/>
        </w:rPr>
        <w:t xml:space="preserve">« le texte introductif repose sur le principe que, si les exceptions prévues à l’article XX peuvent être invoquées en tant que droit légal, le détenteur du droit ne doit pas les appliquer de façon à aller à l’encontre ou à faire fi des obligations légales résultant pour lui des règles de fond de l’Accord général. </w:t>
      </w:r>
      <w:r w:rsidR="008953AA" w:rsidRPr="00D57E94">
        <w:rPr>
          <w:rFonts w:ascii="Times New Roman" w:hAnsi="Times New Roman" w:cs="Times New Roman"/>
          <w:i/>
        </w:rPr>
        <w:t xml:space="preserve">En d’autres termes, pour éviter tout abus ou toute mauvaise utilisation de ces exceptions, les mesures relevant des exceptions particulières doivent être appliquées de manière raisonnable, </w:t>
      </w:r>
      <w:r w:rsidR="008953AA" w:rsidRPr="007A29B5">
        <w:rPr>
          <w:rFonts w:ascii="Times New Roman" w:hAnsi="Times New Roman" w:cs="Times New Roman"/>
          <w:i/>
        </w:rPr>
        <w:t>compte dûment tenu</w:t>
      </w:r>
      <w:r w:rsidR="008953AA" w:rsidRPr="00D57E94">
        <w:rPr>
          <w:rFonts w:ascii="Times New Roman" w:hAnsi="Times New Roman" w:cs="Times New Roman"/>
          <w:i/>
        </w:rPr>
        <w:t xml:space="preserve"> à la fois des obligations légales de la partie qui invoque l’exception et des droits légaux des autres parties intéressées</w:t>
      </w:r>
      <w:r w:rsidR="007E3317">
        <w:rPr>
          <w:rFonts w:ascii="Times New Roman" w:hAnsi="Times New Roman" w:cs="Times New Roman"/>
          <w:i/>
        </w:rPr>
        <w:t xml:space="preserve"> </w:t>
      </w:r>
      <w:r w:rsidR="008953AA" w:rsidRPr="000D1DE1">
        <w:rPr>
          <w:rFonts w:ascii="Times New Roman" w:hAnsi="Times New Roman" w:cs="Times New Roman"/>
          <w:i/>
        </w:rPr>
        <w:t>»</w:t>
      </w:r>
      <w:r w:rsidR="008953AA">
        <w:rPr>
          <w:rStyle w:val="Marquenotebasdepage"/>
          <w:rFonts w:ascii="Times New Roman" w:hAnsi="Times New Roman" w:cs="Times New Roman"/>
        </w:rPr>
        <w:footnoteReference w:id="226"/>
      </w:r>
      <w:r w:rsidR="008953AA">
        <w:rPr>
          <w:rFonts w:ascii="Times New Roman" w:hAnsi="Times New Roman" w:cs="Times New Roman"/>
        </w:rPr>
        <w:t>.</w:t>
      </w:r>
      <w:r w:rsidR="005522CF">
        <w:rPr>
          <w:rFonts w:ascii="Times New Roman" w:hAnsi="Times New Roman" w:cs="Times New Roman"/>
        </w:rPr>
        <w:t xml:space="preserve"> </w:t>
      </w:r>
      <w:r>
        <w:rPr>
          <w:rFonts w:ascii="Times New Roman" w:hAnsi="Times New Roman" w:cs="Times New Roman"/>
        </w:rPr>
        <w:t>L’</w:t>
      </w:r>
      <w:r w:rsidR="0021717D" w:rsidRPr="00483709">
        <w:rPr>
          <w:rFonts w:ascii="Times New Roman" w:hAnsi="Times New Roman" w:cs="Times New Roman"/>
        </w:rPr>
        <w:t xml:space="preserve">Organe d’appel a d’ailleurs confirmé cela dans l’affaire </w:t>
      </w:r>
      <w:r w:rsidR="0021717D" w:rsidRPr="00483709">
        <w:rPr>
          <w:rFonts w:ascii="Times New Roman" w:hAnsi="Times New Roman" w:cs="Times New Roman"/>
          <w:i/>
        </w:rPr>
        <w:t>Crevette</w:t>
      </w:r>
      <w:r w:rsidR="003B5B66" w:rsidRPr="00483709">
        <w:rPr>
          <w:rFonts w:ascii="Times New Roman" w:hAnsi="Times New Roman" w:cs="Times New Roman"/>
          <w:i/>
        </w:rPr>
        <w:t>s</w:t>
      </w:r>
      <w:r w:rsidR="003B5B66" w:rsidRPr="00EB2BB9">
        <w:rPr>
          <w:rStyle w:val="Marquenotebasdepage"/>
          <w:rFonts w:ascii="Times New Roman" w:hAnsi="Times New Roman" w:cs="Times New Roman"/>
        </w:rPr>
        <w:footnoteReference w:id="227"/>
      </w:r>
      <w:r w:rsidR="00EB2BB9" w:rsidRPr="00EB2BB9">
        <w:rPr>
          <w:rFonts w:ascii="Times New Roman" w:hAnsi="Times New Roman" w:cs="Times New Roman"/>
        </w:rPr>
        <w:t xml:space="preserve"> et a ensuite ajouté</w:t>
      </w:r>
      <w:r w:rsidR="008953AA" w:rsidRPr="00EB2BB9">
        <w:rPr>
          <w:rFonts w:ascii="Times New Roman" w:hAnsi="Times New Roman" w:cs="Times New Roman"/>
        </w:rPr>
        <w:t xml:space="preserve"> que :</w:t>
      </w:r>
      <w:r w:rsidR="008953AA">
        <w:rPr>
          <w:rFonts w:ascii="Times New Roman" w:hAnsi="Times New Roman" w:cs="Times New Roman"/>
        </w:rPr>
        <w:t> </w:t>
      </w:r>
      <w:r w:rsidR="008953AA" w:rsidRPr="00414F9B">
        <w:rPr>
          <w:rFonts w:ascii="Times New Roman" w:hAnsi="Times New Roman" w:cs="Times New Roman"/>
          <w:i/>
        </w:rPr>
        <w:t xml:space="preserve">« les Membres de l’OMC y reconnaissent la nécessité de maintenir l’équilibre des droits et des obligations </w:t>
      </w:r>
      <w:r w:rsidR="00F547B7">
        <w:rPr>
          <w:rFonts w:ascii="Times New Roman" w:hAnsi="Times New Roman" w:cs="Times New Roman"/>
          <w:i/>
        </w:rPr>
        <w:t xml:space="preserve">(…). Si un Membre exerce de façon </w:t>
      </w:r>
      <w:r w:rsidR="00F547B7" w:rsidRPr="00F547B7">
        <w:rPr>
          <w:rFonts w:ascii="Times New Roman" w:hAnsi="Times New Roman" w:cs="Times New Roman"/>
          <w:b/>
          <w:i/>
        </w:rPr>
        <w:t>abusive</w:t>
      </w:r>
      <w:r w:rsidR="00F547B7">
        <w:rPr>
          <w:rFonts w:ascii="Times New Roman" w:hAnsi="Times New Roman" w:cs="Times New Roman"/>
          <w:i/>
        </w:rPr>
        <w:t xml:space="preserve"> ou </w:t>
      </w:r>
      <w:r w:rsidR="00F547B7" w:rsidRPr="00F547B7">
        <w:rPr>
          <w:rFonts w:ascii="Times New Roman" w:hAnsi="Times New Roman" w:cs="Times New Roman"/>
          <w:b/>
          <w:i/>
        </w:rPr>
        <w:t>impropre</w:t>
      </w:r>
      <w:r w:rsidR="00F547B7">
        <w:rPr>
          <w:rFonts w:ascii="Times New Roman" w:hAnsi="Times New Roman" w:cs="Times New Roman"/>
          <w:b/>
          <w:i/>
        </w:rPr>
        <w:t xml:space="preserve"> </w:t>
      </w:r>
      <w:r w:rsidR="00904F6B">
        <w:rPr>
          <w:rFonts w:ascii="Times New Roman" w:hAnsi="Times New Roman" w:cs="Times New Roman"/>
          <w:i/>
        </w:rPr>
        <w:t>son</w:t>
      </w:r>
      <w:r w:rsidR="00F547B7">
        <w:rPr>
          <w:rFonts w:ascii="Times New Roman" w:hAnsi="Times New Roman" w:cs="Times New Roman"/>
          <w:i/>
        </w:rPr>
        <w:t xml:space="preserve"> droit d’invoquer une exception telle que celle de l’article XX g)</w:t>
      </w:r>
      <w:r w:rsidR="00F547B7">
        <w:rPr>
          <w:rFonts w:ascii="Times New Roman" w:hAnsi="Times New Roman" w:cs="Times New Roman"/>
          <w:b/>
          <w:i/>
        </w:rPr>
        <w:t xml:space="preserve">, </w:t>
      </w:r>
      <w:r w:rsidR="00F547B7">
        <w:rPr>
          <w:rFonts w:ascii="Times New Roman" w:hAnsi="Times New Roman" w:cs="Times New Roman"/>
          <w:i/>
        </w:rPr>
        <w:t>il va par là même éroder ou réduire à néant les droits conventionnels fondamentaux des autres Membres. (…) Si l’usage abusif ou impropre est suffisamment grave ou large, le Membre donne en fait à son obligation conventionnelle un caractère purement facultatif et lui ôte son caractère juridique (…). Le texte introductif a été placé en tête de la liste des « Exceptions générales » contenues dans l’article XX pour éviter des conséquences d’une telle gravité »</w:t>
      </w:r>
      <w:r w:rsidR="00F547B7">
        <w:rPr>
          <w:rStyle w:val="Marquenotebasdepage"/>
          <w:rFonts w:ascii="Times New Roman" w:hAnsi="Times New Roman" w:cs="Times New Roman"/>
          <w:i/>
        </w:rPr>
        <w:footnoteReference w:id="228"/>
      </w:r>
      <w:r w:rsidR="00F547B7">
        <w:rPr>
          <w:rFonts w:ascii="Times New Roman" w:hAnsi="Times New Roman" w:cs="Times New Roman"/>
          <w:i/>
        </w:rPr>
        <w:t>.</w:t>
      </w:r>
      <w:r w:rsidR="0003321B">
        <w:rPr>
          <w:rFonts w:ascii="Times New Roman" w:hAnsi="Times New Roman" w:cs="Times New Roman"/>
          <w:i/>
        </w:rPr>
        <w:t xml:space="preserve"> </w:t>
      </w:r>
    </w:p>
    <w:p w14:paraId="05CCD2FA" w14:textId="77777777" w:rsidR="007E3317" w:rsidRPr="007F73E9" w:rsidRDefault="007E3317" w:rsidP="007F73E9">
      <w:pPr>
        <w:spacing w:line="360" w:lineRule="auto"/>
        <w:ind w:firstLine="708"/>
        <w:jc w:val="both"/>
        <w:rPr>
          <w:rFonts w:ascii="Times New Roman" w:hAnsi="Times New Roman" w:cs="Times New Roman"/>
          <w:i/>
        </w:rPr>
      </w:pPr>
    </w:p>
    <w:p w14:paraId="3C8FCD44" w14:textId="30E51D54" w:rsidR="008953AA" w:rsidRDefault="008953AA" w:rsidP="008953AA">
      <w:pPr>
        <w:spacing w:line="360" w:lineRule="auto"/>
        <w:ind w:firstLine="708"/>
        <w:jc w:val="both"/>
        <w:rPr>
          <w:rFonts w:ascii="Times New Roman" w:hAnsi="Times New Roman" w:cs="Times New Roman"/>
        </w:rPr>
      </w:pPr>
      <w:r>
        <w:rPr>
          <w:rFonts w:ascii="Times New Roman" w:hAnsi="Times New Roman" w:cs="Times New Roman"/>
        </w:rPr>
        <w:t>Cette fonction assignée au chapeau de l’article XX d’éviter l’utilisation abusive des exceptions est considérée comme une manière de garantir la bonne foi dans l’application des accords commerciaux multilatéraux</w:t>
      </w:r>
      <w:r w:rsidR="003B5B66">
        <w:rPr>
          <w:rStyle w:val="Marquenotebasdepage"/>
          <w:rFonts w:ascii="Times New Roman" w:hAnsi="Times New Roman" w:cs="Times New Roman"/>
        </w:rPr>
        <w:footnoteReference w:id="229"/>
      </w:r>
      <w:r>
        <w:rPr>
          <w:rFonts w:ascii="Times New Roman" w:hAnsi="Times New Roman" w:cs="Times New Roman"/>
        </w:rPr>
        <w:t xml:space="preserve">. </w:t>
      </w:r>
      <w:r w:rsidR="00696434" w:rsidRPr="000C12ED">
        <w:rPr>
          <w:rFonts w:ascii="Times New Roman" w:hAnsi="Times New Roman" w:cs="Times New Roman"/>
        </w:rPr>
        <w:t>De plus, d’après l’Organe d’appel, le chapeau n’est en soi qu’une manière d’exprimer le principe de bonne foi</w:t>
      </w:r>
      <w:r w:rsidR="00696434" w:rsidRPr="000C12ED">
        <w:rPr>
          <w:rStyle w:val="Marquenotebasdepage"/>
          <w:rFonts w:ascii="Times New Roman" w:hAnsi="Times New Roman" w:cs="Times New Roman"/>
        </w:rPr>
        <w:footnoteReference w:id="230"/>
      </w:r>
      <w:r w:rsidR="00696434" w:rsidRPr="000C12ED">
        <w:rPr>
          <w:rFonts w:ascii="Times New Roman" w:hAnsi="Times New Roman" w:cs="Times New Roman"/>
        </w:rPr>
        <w:t>.</w:t>
      </w:r>
      <w:r w:rsidR="00696434">
        <w:rPr>
          <w:rFonts w:ascii="Times New Roman" w:hAnsi="Times New Roman" w:cs="Times New Roman"/>
        </w:rPr>
        <w:t xml:space="preserve"> </w:t>
      </w:r>
      <w:r>
        <w:rPr>
          <w:rFonts w:ascii="Times New Roman" w:hAnsi="Times New Roman" w:cs="Times New Roman"/>
        </w:rPr>
        <w:t xml:space="preserve">Dans l’affaire </w:t>
      </w:r>
      <w:r w:rsidRPr="00A11F77">
        <w:rPr>
          <w:rFonts w:ascii="Times New Roman" w:hAnsi="Times New Roman" w:cs="Times New Roman"/>
          <w:i/>
        </w:rPr>
        <w:t>Crevettes</w:t>
      </w:r>
      <w:r>
        <w:rPr>
          <w:rFonts w:ascii="Times New Roman" w:hAnsi="Times New Roman" w:cs="Times New Roman"/>
        </w:rPr>
        <w:t xml:space="preserve">, l’Organe d’appel a souligné que </w:t>
      </w:r>
      <w:r w:rsidRPr="0089681E">
        <w:rPr>
          <w:rFonts w:ascii="Times New Roman" w:hAnsi="Times New Roman" w:cs="Times New Roman"/>
          <w:i/>
        </w:rPr>
        <w:t>« pour interpréter et appliquer le texte introductif, il nous faut (…) essentiellement mener à bien la tâcher délicate de localiser et de circonscrire le point d’équilibre entre le droit qu’a un Membre d’invoquer une exception au titre de l’article XX et les droits que les autres Membres tiennent de diverses dispo</w:t>
      </w:r>
      <w:r>
        <w:rPr>
          <w:rFonts w:ascii="Times New Roman" w:hAnsi="Times New Roman" w:cs="Times New Roman"/>
          <w:i/>
        </w:rPr>
        <w:t>sitions de fond du GATT de 1994</w:t>
      </w:r>
      <w:r w:rsidRPr="0089681E">
        <w:rPr>
          <w:rFonts w:ascii="Times New Roman" w:hAnsi="Times New Roman" w:cs="Times New Roman"/>
          <w:i/>
        </w:rPr>
        <w:t xml:space="preserve"> de façon qu’aucun des droits en cause n’annule l’autre et, partant, ne fausse et ne compromette l’équilibre des droits et des obligations établi par les Membres eux-mêmes dans cet accord »</w:t>
      </w:r>
      <w:r>
        <w:rPr>
          <w:rStyle w:val="Marquenotebasdepage"/>
          <w:rFonts w:ascii="Times New Roman" w:hAnsi="Times New Roman" w:cs="Times New Roman"/>
        </w:rPr>
        <w:footnoteReference w:id="231"/>
      </w:r>
      <w:r>
        <w:rPr>
          <w:rFonts w:ascii="Times New Roman" w:hAnsi="Times New Roman" w:cs="Times New Roman"/>
        </w:rPr>
        <w:t xml:space="preserve">. Il a ensuite tenu à préciser que </w:t>
      </w:r>
      <w:r w:rsidRPr="0089681E">
        <w:rPr>
          <w:rFonts w:ascii="Times New Roman" w:hAnsi="Times New Roman" w:cs="Times New Roman"/>
          <w:i/>
        </w:rPr>
        <w:t>« la localisation du point d’équilibre, tel qu’il est conçu dans le texte introductif, n’est pas fixe et immuable ; ce point se déplace dès lors que le type et la forme des mesures en cause varient et que les faits qui sous-tendent les affaires</w:t>
      </w:r>
      <w:r w:rsidR="00C663CB">
        <w:rPr>
          <w:rFonts w:ascii="Times New Roman" w:hAnsi="Times New Roman" w:cs="Times New Roman"/>
          <w:i/>
        </w:rPr>
        <w:t xml:space="preserve"> considérées </w:t>
      </w:r>
      <w:r w:rsidR="00C663CB" w:rsidRPr="007A29B5">
        <w:rPr>
          <w:rFonts w:ascii="Times New Roman" w:hAnsi="Times New Roman" w:cs="Times New Roman"/>
          <w:i/>
        </w:rPr>
        <w:t>diffè</w:t>
      </w:r>
      <w:r w:rsidRPr="007A29B5">
        <w:rPr>
          <w:rFonts w:ascii="Times New Roman" w:hAnsi="Times New Roman" w:cs="Times New Roman"/>
          <w:i/>
        </w:rPr>
        <w:t>rent »</w:t>
      </w:r>
      <w:r w:rsidRPr="007A29B5">
        <w:rPr>
          <w:rStyle w:val="Marquenotebasdepage"/>
          <w:rFonts w:ascii="Times New Roman" w:hAnsi="Times New Roman" w:cs="Times New Roman"/>
        </w:rPr>
        <w:footnoteReference w:id="232"/>
      </w:r>
      <w:r w:rsidRPr="007A29B5">
        <w:rPr>
          <w:rFonts w:ascii="Times New Roman" w:hAnsi="Times New Roman" w:cs="Times New Roman"/>
        </w:rPr>
        <w:t>.</w:t>
      </w:r>
      <w:r>
        <w:rPr>
          <w:rFonts w:ascii="Times New Roman" w:hAnsi="Times New Roman" w:cs="Times New Roman"/>
        </w:rPr>
        <w:t xml:space="preserve"> Il faut toutefois souligner que la localisation de ce point d’équilibre n’est pas évidente. En effet, le juge se doit d’ad</w:t>
      </w:r>
      <w:r w:rsidR="00A11F77">
        <w:rPr>
          <w:rFonts w:ascii="Times New Roman" w:hAnsi="Times New Roman" w:cs="Times New Roman"/>
        </w:rPr>
        <w:t xml:space="preserve">apter son interprétation </w:t>
      </w:r>
      <w:r>
        <w:rPr>
          <w:rFonts w:ascii="Times New Roman" w:hAnsi="Times New Roman" w:cs="Times New Roman"/>
        </w:rPr>
        <w:t xml:space="preserve">dans un monde </w:t>
      </w:r>
      <w:r w:rsidR="00A11F77">
        <w:rPr>
          <w:rFonts w:ascii="Times New Roman" w:hAnsi="Times New Roman" w:cs="Times New Roman"/>
        </w:rPr>
        <w:t xml:space="preserve">qui évolue de manière </w:t>
      </w:r>
      <w:r>
        <w:rPr>
          <w:rFonts w:ascii="Times New Roman" w:hAnsi="Times New Roman" w:cs="Times New Roman"/>
        </w:rPr>
        <w:t>perpétuelle tout en s’efforçant de maintenir la « cohérence d’ensemble du système »</w:t>
      </w:r>
      <w:r>
        <w:rPr>
          <w:rStyle w:val="Marquenotebasdepage"/>
          <w:rFonts w:ascii="Times New Roman" w:hAnsi="Times New Roman" w:cs="Times New Roman"/>
        </w:rPr>
        <w:footnoteReference w:id="233"/>
      </w:r>
      <w:r>
        <w:rPr>
          <w:rFonts w:ascii="Times New Roman" w:hAnsi="Times New Roman" w:cs="Times New Roman"/>
        </w:rPr>
        <w:t>.</w:t>
      </w:r>
    </w:p>
    <w:p w14:paraId="3AE8F043" w14:textId="77777777" w:rsidR="003335E8" w:rsidRDefault="003335E8" w:rsidP="00A11F77">
      <w:pPr>
        <w:tabs>
          <w:tab w:val="left" w:pos="7720"/>
        </w:tabs>
        <w:spacing w:line="360" w:lineRule="auto"/>
        <w:jc w:val="both"/>
        <w:rPr>
          <w:rFonts w:ascii="Times New Roman" w:hAnsi="Times New Roman" w:cs="Times New Roman"/>
        </w:rPr>
      </w:pPr>
    </w:p>
    <w:p w14:paraId="28867AAB" w14:textId="68B4CC1E" w:rsidR="00846860" w:rsidRDefault="00696434" w:rsidP="00072172">
      <w:pPr>
        <w:tabs>
          <w:tab w:val="left" w:pos="7720"/>
        </w:tabs>
        <w:spacing w:line="360" w:lineRule="auto"/>
        <w:jc w:val="both"/>
        <w:rPr>
          <w:rFonts w:ascii="Times New Roman" w:hAnsi="Times New Roman" w:cs="Times New Roman"/>
        </w:rPr>
      </w:pPr>
      <w:r>
        <w:rPr>
          <w:rFonts w:ascii="Times New Roman" w:hAnsi="Times New Roman" w:cs="Times New Roman"/>
        </w:rPr>
        <w:t>D</w:t>
      </w:r>
      <w:r w:rsidR="00A11F77">
        <w:rPr>
          <w:rFonts w:ascii="Times New Roman" w:hAnsi="Times New Roman" w:cs="Times New Roman"/>
        </w:rPr>
        <w:t xml:space="preserve">ans l’affaire </w:t>
      </w:r>
      <w:r w:rsidR="00A11F77" w:rsidRPr="00A11F77">
        <w:rPr>
          <w:rFonts w:ascii="Times New Roman" w:hAnsi="Times New Roman" w:cs="Times New Roman"/>
          <w:i/>
        </w:rPr>
        <w:t>Essence</w:t>
      </w:r>
      <w:r>
        <w:rPr>
          <w:rFonts w:ascii="Times New Roman" w:hAnsi="Times New Roman" w:cs="Times New Roman"/>
        </w:rPr>
        <w:t xml:space="preserve">, l’Organe d’appel énonce </w:t>
      </w:r>
      <w:r w:rsidR="00A11F77">
        <w:rPr>
          <w:rFonts w:ascii="Times New Roman" w:hAnsi="Times New Roman" w:cs="Times New Roman"/>
        </w:rPr>
        <w:t>que les exceptions énumérées à l’article XX se rapportent à toutes les obligations de fond qui découlent du GATT et pas exclusivement à certaines d’entre elles</w:t>
      </w:r>
      <w:r w:rsidR="00A11F77">
        <w:rPr>
          <w:rStyle w:val="Marquenotebasdepage"/>
          <w:rFonts w:ascii="Times New Roman" w:hAnsi="Times New Roman" w:cs="Times New Roman"/>
        </w:rPr>
        <w:footnoteReference w:id="234"/>
      </w:r>
      <w:r w:rsidR="00A11F77">
        <w:rPr>
          <w:rFonts w:ascii="Times New Roman" w:hAnsi="Times New Roman" w:cs="Times New Roman"/>
        </w:rPr>
        <w:t>.</w:t>
      </w:r>
    </w:p>
    <w:p w14:paraId="2EBEF7B0" w14:textId="77777777" w:rsidR="008953AA" w:rsidRDefault="008953AA" w:rsidP="008953AA">
      <w:pPr>
        <w:spacing w:line="360" w:lineRule="auto"/>
        <w:jc w:val="both"/>
        <w:rPr>
          <w:rFonts w:ascii="Times New Roman" w:hAnsi="Times New Roman" w:cs="Times New Roman"/>
        </w:rPr>
      </w:pPr>
    </w:p>
    <w:p w14:paraId="512B1DC9" w14:textId="185C9785" w:rsidR="0003321B" w:rsidRDefault="00A44156" w:rsidP="007F73E9">
      <w:pPr>
        <w:widowControl w:val="0"/>
        <w:autoSpaceDE w:val="0"/>
        <w:autoSpaceDN w:val="0"/>
        <w:adjustRightInd w:val="0"/>
        <w:spacing w:after="240" w:line="276" w:lineRule="auto"/>
        <w:jc w:val="both"/>
        <w:rPr>
          <w:rFonts w:ascii="Times New Roman" w:hAnsi="Times New Roman" w:cs="Times New Roman"/>
          <w:b/>
        </w:rPr>
      </w:pPr>
      <w:r w:rsidRPr="001B15CE">
        <w:rPr>
          <w:rFonts w:ascii="Times New Roman" w:hAnsi="Times New Roman" w:cs="Times New Roman"/>
          <w:b/>
        </w:rPr>
        <w:t>B. « un moyen de discrimination arbit</w:t>
      </w:r>
      <w:r w:rsidR="00545D33">
        <w:rPr>
          <w:rFonts w:ascii="Times New Roman" w:hAnsi="Times New Roman" w:cs="Times New Roman"/>
          <w:b/>
        </w:rPr>
        <w:t>raire ou injustifiable</w:t>
      </w:r>
      <w:r w:rsidRPr="001B15CE">
        <w:rPr>
          <w:rFonts w:ascii="Times New Roman" w:hAnsi="Times New Roman" w:cs="Times New Roman"/>
          <w:b/>
        </w:rPr>
        <w:t xml:space="preserve"> entre les pays où les mêmes conditions existent, soit une restriction déguisée au commerce international »</w:t>
      </w:r>
    </w:p>
    <w:p w14:paraId="24571EAC" w14:textId="7E2276EA" w:rsidR="00A44156" w:rsidRPr="001B15CE" w:rsidRDefault="00A44156" w:rsidP="007F73E9">
      <w:pPr>
        <w:widowControl w:val="0"/>
        <w:autoSpaceDE w:val="0"/>
        <w:autoSpaceDN w:val="0"/>
        <w:adjustRightInd w:val="0"/>
        <w:spacing w:after="240" w:line="276" w:lineRule="auto"/>
        <w:jc w:val="both"/>
        <w:rPr>
          <w:rFonts w:ascii="Times New Roman" w:hAnsi="Times New Roman" w:cs="Times New Roman"/>
          <w:b/>
        </w:rPr>
      </w:pPr>
      <w:r w:rsidRPr="001B15CE">
        <w:rPr>
          <w:rFonts w:ascii="Times New Roman" w:hAnsi="Times New Roman" w:cs="Times New Roman"/>
          <w:b/>
        </w:rPr>
        <w:t>I. Pratique du GATT de 1947 en matière de règlement des différends</w:t>
      </w:r>
    </w:p>
    <w:p w14:paraId="3D4080DB" w14:textId="10CBD0B7" w:rsidR="00A44156" w:rsidRDefault="00A44156" w:rsidP="00E77699">
      <w:pPr>
        <w:widowControl w:val="0"/>
        <w:autoSpaceDE w:val="0"/>
        <w:autoSpaceDN w:val="0"/>
        <w:adjustRightInd w:val="0"/>
        <w:spacing w:after="240" w:line="360" w:lineRule="auto"/>
        <w:jc w:val="both"/>
        <w:rPr>
          <w:rFonts w:ascii="Times New Roman" w:hAnsi="Times New Roman" w:cs="Times New Roman"/>
        </w:rPr>
      </w:pPr>
      <w:r w:rsidRPr="001B15CE">
        <w:rPr>
          <w:rFonts w:ascii="Times New Roman" w:hAnsi="Times New Roman" w:cs="Times New Roman"/>
        </w:rPr>
        <w:t>Dans le cadre du GATT, le concept de « discrimination arbitraire ou injustifiable entre les pays où les mêmes conditions ex</w:t>
      </w:r>
      <w:r>
        <w:rPr>
          <w:rFonts w:ascii="Times New Roman" w:hAnsi="Times New Roman" w:cs="Times New Roman"/>
        </w:rPr>
        <w:t>istent » a été examiné dans deux différends.</w:t>
      </w:r>
      <w:r w:rsidR="00527DA7">
        <w:rPr>
          <w:rFonts w:ascii="Times New Roman" w:hAnsi="Times New Roman" w:cs="Times New Roman"/>
        </w:rPr>
        <w:t xml:space="preserve"> </w:t>
      </w:r>
    </w:p>
    <w:p w14:paraId="5F7C1D47" w14:textId="727E6194" w:rsidR="00483709" w:rsidRPr="00483709" w:rsidRDefault="00A44156" w:rsidP="00E77699">
      <w:pPr>
        <w:widowControl w:val="0"/>
        <w:autoSpaceDE w:val="0"/>
        <w:autoSpaceDN w:val="0"/>
        <w:adjustRightInd w:val="0"/>
        <w:spacing w:after="240" w:line="360" w:lineRule="auto"/>
        <w:jc w:val="both"/>
        <w:rPr>
          <w:rFonts w:ascii="Times New Roman" w:hAnsi="Times New Roman"/>
        </w:rPr>
      </w:pPr>
      <w:r>
        <w:rPr>
          <w:rFonts w:ascii="Times New Roman" w:hAnsi="Times New Roman" w:cs="Times New Roman"/>
        </w:rPr>
        <w:t xml:space="preserve">Dans l’affaire </w:t>
      </w:r>
      <w:r w:rsidRPr="0008066D">
        <w:rPr>
          <w:rFonts w:ascii="Times New Roman" w:hAnsi="Times New Roman" w:cs="Times New Roman"/>
          <w:i/>
        </w:rPr>
        <w:t xml:space="preserve">Thon </w:t>
      </w:r>
      <w:r w:rsidRPr="00613052">
        <w:rPr>
          <w:rFonts w:ascii="Times New Roman" w:hAnsi="Times New Roman" w:cs="Times New Roman"/>
        </w:rPr>
        <w:t>de</w:t>
      </w:r>
      <w:r w:rsidRPr="0008066D">
        <w:rPr>
          <w:rFonts w:ascii="Times New Roman" w:hAnsi="Times New Roman" w:cs="Times New Roman"/>
          <w:i/>
        </w:rPr>
        <w:t xml:space="preserve"> 1982</w:t>
      </w:r>
      <w:r w:rsidRPr="003B6517">
        <w:rPr>
          <w:rStyle w:val="Marquenotebasdepage"/>
          <w:rFonts w:ascii="Times New Roman" w:hAnsi="Times New Roman" w:cs="Times New Roman"/>
        </w:rPr>
        <w:footnoteReference w:id="235"/>
      </w:r>
      <w:r>
        <w:rPr>
          <w:rFonts w:ascii="Times New Roman" w:hAnsi="Times New Roman" w:cs="Times New Roman"/>
        </w:rPr>
        <w:t xml:space="preserve">, le Groupe spécial </w:t>
      </w:r>
      <w:r w:rsidR="007A29B5">
        <w:rPr>
          <w:rFonts w:ascii="Times New Roman" w:hAnsi="Times New Roman" w:cs="Times New Roman"/>
        </w:rPr>
        <w:t>a examiné</w:t>
      </w:r>
      <w:r>
        <w:rPr>
          <w:rFonts w:ascii="Times New Roman" w:hAnsi="Times New Roman" w:cs="Times New Roman"/>
        </w:rPr>
        <w:t xml:space="preserve"> une interdiction des importations de thon et de produits du thon en provenance du Canada décrétée par les Etats- Unis à la suite de la saisie de bateaux de pêche et de l’arrestation de pêcheurs américains par les autorités canadiennes dans des eaux qui faisai</w:t>
      </w:r>
      <w:r w:rsidR="003A4BE5">
        <w:rPr>
          <w:rFonts w:ascii="Times New Roman" w:hAnsi="Times New Roman" w:cs="Times New Roman"/>
        </w:rPr>
        <w:t>en</w:t>
      </w:r>
      <w:r>
        <w:rPr>
          <w:rFonts w:ascii="Times New Roman" w:hAnsi="Times New Roman" w:cs="Times New Roman"/>
        </w:rPr>
        <w:t>t l’objet d’un litige</w:t>
      </w:r>
      <w:r>
        <w:rPr>
          <w:rStyle w:val="Marquenotebasdepage"/>
          <w:rFonts w:ascii="Times New Roman" w:hAnsi="Times New Roman" w:cs="Times New Roman"/>
        </w:rPr>
        <w:footnoteReference w:id="236"/>
      </w:r>
      <w:r w:rsidR="00483709">
        <w:rPr>
          <w:rFonts w:ascii="Times New Roman" w:hAnsi="Times New Roman" w:cs="Times New Roman"/>
        </w:rPr>
        <w:t>.</w:t>
      </w:r>
      <w:r w:rsidR="000C1D11">
        <w:rPr>
          <w:rFonts w:ascii="Times New Roman" w:hAnsi="Times New Roman"/>
        </w:rPr>
        <w:t xml:space="preserve"> </w:t>
      </w:r>
      <w:r w:rsidR="00E04136">
        <w:rPr>
          <w:rFonts w:ascii="Times New Roman" w:hAnsi="Times New Roman"/>
        </w:rPr>
        <w:t>En ce qui concerne le</w:t>
      </w:r>
      <w:r>
        <w:rPr>
          <w:rFonts w:ascii="Times New Roman" w:hAnsi="Times New Roman"/>
        </w:rPr>
        <w:t> </w:t>
      </w:r>
      <w:r w:rsidRPr="00E04136">
        <w:rPr>
          <w:rFonts w:ascii="Times New Roman" w:hAnsi="Times New Roman"/>
        </w:rPr>
        <w:t>chapeau</w:t>
      </w:r>
      <w:r>
        <w:rPr>
          <w:rFonts w:ascii="Times New Roman" w:hAnsi="Times New Roman"/>
          <w:b/>
        </w:rPr>
        <w:t> </w:t>
      </w:r>
      <w:r w:rsidR="0054134C">
        <w:rPr>
          <w:rFonts w:ascii="Times New Roman" w:hAnsi="Times New Roman"/>
        </w:rPr>
        <w:t>de l’article XX, l</w:t>
      </w:r>
      <w:r w:rsidR="00232432">
        <w:rPr>
          <w:rFonts w:ascii="Times New Roman" w:hAnsi="Times New Roman"/>
        </w:rPr>
        <w:t xml:space="preserve">e Groupe spécial </w:t>
      </w:r>
      <w:r w:rsidR="00991C46">
        <w:rPr>
          <w:rFonts w:ascii="Times New Roman" w:hAnsi="Times New Roman"/>
        </w:rPr>
        <w:t xml:space="preserve">a considéré </w:t>
      </w:r>
      <w:r>
        <w:rPr>
          <w:rFonts w:ascii="Times New Roman" w:hAnsi="Times New Roman"/>
        </w:rPr>
        <w:t xml:space="preserve">que la mesure incriminée visait exclusivement l’importation de thon et de produits dérivés du thon provenant du Canada. En outre, le Groupe spécial </w:t>
      </w:r>
      <w:r w:rsidR="00DA6955">
        <w:rPr>
          <w:rFonts w:ascii="Times New Roman" w:hAnsi="Times New Roman"/>
        </w:rPr>
        <w:t>a relevé</w:t>
      </w:r>
      <w:r>
        <w:rPr>
          <w:rFonts w:ascii="Times New Roman" w:hAnsi="Times New Roman"/>
        </w:rPr>
        <w:t xml:space="preserve"> que des mesures analogues avaient aussi été prises pour des raisons similaires à l’égard des importations en provenance du Canada, du Costa Rica, de l’Equateur, du Mexique et du Pérou</w:t>
      </w:r>
      <w:r>
        <w:rPr>
          <w:rStyle w:val="Marquenotebasdepage"/>
          <w:rFonts w:ascii="Times New Roman" w:hAnsi="Times New Roman"/>
        </w:rPr>
        <w:footnoteReference w:id="237"/>
      </w:r>
      <w:r>
        <w:rPr>
          <w:rFonts w:ascii="Times New Roman" w:hAnsi="Times New Roman"/>
        </w:rPr>
        <w:t xml:space="preserve"> ce qui entraînait une absence de discrimination arbitraire ou injustifiée</w:t>
      </w:r>
      <w:r>
        <w:rPr>
          <w:rStyle w:val="Marquenotebasdepage"/>
          <w:rFonts w:ascii="Times New Roman" w:hAnsi="Times New Roman"/>
        </w:rPr>
        <w:footnoteReference w:id="238"/>
      </w:r>
      <w:r>
        <w:rPr>
          <w:rFonts w:ascii="Times New Roman" w:hAnsi="Times New Roman"/>
        </w:rPr>
        <w:t xml:space="preserve">. </w:t>
      </w:r>
      <w:r w:rsidR="002B02E7" w:rsidRPr="00EE0C75">
        <w:rPr>
          <w:rFonts w:ascii="Times New Roman" w:hAnsi="Times New Roman"/>
        </w:rPr>
        <w:t xml:space="preserve">Le Groupe spécial restait </w:t>
      </w:r>
      <w:r w:rsidR="0054134C" w:rsidRPr="00EE0C75">
        <w:rPr>
          <w:rFonts w:ascii="Times New Roman" w:hAnsi="Times New Roman"/>
        </w:rPr>
        <w:t>muet sur la fonction et le champ d’application du chapeau</w:t>
      </w:r>
      <w:r w:rsidR="00C663CB" w:rsidRPr="00EE0C75">
        <w:rPr>
          <w:rFonts w:ascii="Times New Roman" w:hAnsi="Times New Roman"/>
        </w:rPr>
        <w:t xml:space="preserve"> dans cette affaire</w:t>
      </w:r>
      <w:r w:rsidR="00C663CB" w:rsidRPr="00EE0C75">
        <w:rPr>
          <w:rStyle w:val="Marquenotebasdepage"/>
          <w:rFonts w:ascii="Times New Roman" w:hAnsi="Times New Roman"/>
        </w:rPr>
        <w:footnoteReference w:id="239"/>
      </w:r>
    </w:p>
    <w:p w14:paraId="04120284" w14:textId="503CC48A" w:rsidR="00486221" w:rsidRPr="00C576C4" w:rsidRDefault="00A44156" w:rsidP="00C576C4">
      <w:pPr>
        <w:widowControl w:val="0"/>
        <w:autoSpaceDE w:val="0"/>
        <w:autoSpaceDN w:val="0"/>
        <w:adjustRightInd w:val="0"/>
        <w:spacing w:after="240" w:line="360" w:lineRule="auto"/>
        <w:ind w:firstLine="708"/>
        <w:jc w:val="both"/>
        <w:rPr>
          <w:rFonts w:ascii="Times New Roman" w:hAnsi="Times New Roman"/>
        </w:rPr>
      </w:pPr>
      <w:r>
        <w:rPr>
          <w:rFonts w:ascii="Times New Roman" w:hAnsi="Times New Roman" w:cs="Times New Roman"/>
        </w:rPr>
        <w:t xml:space="preserve">Dans l’affaire </w:t>
      </w:r>
      <w:r w:rsidRPr="00866390">
        <w:rPr>
          <w:rFonts w:ascii="Times New Roman" w:hAnsi="Times New Roman" w:cs="Times New Roman"/>
          <w:i/>
        </w:rPr>
        <w:t>« Etats-Unis – Importations de certains assemblages de ressorts pour automobiles »</w:t>
      </w:r>
      <w:r>
        <w:rPr>
          <w:rStyle w:val="Marquenotebasdepage"/>
          <w:rFonts w:ascii="Times New Roman" w:hAnsi="Times New Roman" w:cs="Times New Roman"/>
        </w:rPr>
        <w:footnoteReference w:id="240"/>
      </w:r>
      <w:r w:rsidR="00846860">
        <w:rPr>
          <w:rFonts w:ascii="Times New Roman" w:hAnsi="Times New Roman" w:cs="Times New Roman"/>
        </w:rPr>
        <w:t xml:space="preserve">, </w:t>
      </w:r>
      <w:r>
        <w:rPr>
          <w:rFonts w:ascii="Times New Roman" w:hAnsi="Times New Roman" w:cs="Times New Roman"/>
        </w:rPr>
        <w:t xml:space="preserve">le Groupe spécial </w:t>
      </w:r>
      <w:r w:rsidR="00C224B3">
        <w:rPr>
          <w:rFonts w:ascii="Times New Roman" w:hAnsi="Times New Roman" w:cs="Times New Roman"/>
        </w:rPr>
        <w:t>a interprété</w:t>
      </w:r>
      <w:r>
        <w:rPr>
          <w:rFonts w:ascii="Times New Roman" w:hAnsi="Times New Roman" w:cs="Times New Roman"/>
        </w:rPr>
        <w:t xml:space="preserve"> également de manière très littérale le concept susmentionné</w:t>
      </w:r>
      <w:r w:rsidR="00F50C82">
        <w:rPr>
          <w:rStyle w:val="Marquenotebasdepage"/>
          <w:rFonts w:ascii="Times New Roman" w:hAnsi="Times New Roman" w:cs="Times New Roman"/>
        </w:rPr>
        <w:footnoteReference w:id="241"/>
      </w:r>
      <w:r>
        <w:rPr>
          <w:rFonts w:ascii="Times New Roman" w:hAnsi="Times New Roman" w:cs="Times New Roman"/>
        </w:rPr>
        <w:t xml:space="preserve">. En effet, dans les deux affaires, les Groupes spéciaux </w:t>
      </w:r>
      <w:r w:rsidR="00C224B3">
        <w:rPr>
          <w:rFonts w:ascii="Times New Roman" w:hAnsi="Times New Roman" w:cs="Times New Roman"/>
        </w:rPr>
        <w:t>ont insisté</w:t>
      </w:r>
      <w:r>
        <w:rPr>
          <w:rFonts w:ascii="Times New Roman" w:hAnsi="Times New Roman" w:cs="Times New Roman"/>
        </w:rPr>
        <w:t xml:space="preserve"> sur le fait que la mesure avait été communiquée au public</w:t>
      </w:r>
      <w:r>
        <w:rPr>
          <w:rStyle w:val="Marquenotebasdepage"/>
          <w:rFonts w:ascii="Times New Roman" w:hAnsi="Times New Roman" w:cs="Times New Roman"/>
        </w:rPr>
        <w:footnoteReference w:id="242"/>
      </w:r>
      <w:r>
        <w:rPr>
          <w:rFonts w:ascii="Times New Roman" w:hAnsi="Times New Roman" w:cs="Times New Roman"/>
        </w:rPr>
        <w:t xml:space="preserve">. Ainsi, dans l’affaire </w:t>
      </w:r>
      <w:r>
        <w:rPr>
          <w:rFonts w:ascii="Times New Roman" w:hAnsi="Times New Roman" w:cs="Times New Roman"/>
          <w:i/>
        </w:rPr>
        <w:t>Thon</w:t>
      </w:r>
      <w:r w:rsidRPr="00613052">
        <w:rPr>
          <w:rFonts w:ascii="Times New Roman" w:hAnsi="Times New Roman" w:cs="Times New Roman"/>
          <w:i/>
        </w:rPr>
        <w:t xml:space="preserve"> 1982</w:t>
      </w:r>
      <w:r>
        <w:rPr>
          <w:rFonts w:ascii="Times New Roman" w:hAnsi="Times New Roman" w:cs="Times New Roman"/>
        </w:rPr>
        <w:t xml:space="preserve">, le Groupe spécial a noté que </w:t>
      </w:r>
      <w:r>
        <w:rPr>
          <w:rFonts w:ascii="Times New Roman" w:hAnsi="Times New Roman"/>
        </w:rPr>
        <w:t xml:space="preserve">la mesure en cause ne devait </w:t>
      </w:r>
      <w:r w:rsidRPr="00613052">
        <w:rPr>
          <w:rFonts w:ascii="Times New Roman" w:hAnsi="Times New Roman"/>
          <w:i/>
        </w:rPr>
        <w:t>« pas être considérée comme une restriction déguisée au commerce international car l’interdiction d’importer du thon et des produits du thon en provenance du Canada avait été décrétée par</w:t>
      </w:r>
      <w:r w:rsidR="00EF6928">
        <w:rPr>
          <w:rFonts w:ascii="Times New Roman" w:hAnsi="Times New Roman"/>
          <w:i/>
        </w:rPr>
        <w:t xml:space="preserve"> les Etats-Unis en tant que </w:t>
      </w:r>
      <w:r w:rsidRPr="00613052">
        <w:rPr>
          <w:rFonts w:ascii="Times New Roman" w:hAnsi="Times New Roman"/>
          <w:i/>
        </w:rPr>
        <w:t>mesure commerciale et publiquement annoncée comme telle »</w:t>
      </w:r>
      <w:r>
        <w:rPr>
          <w:rStyle w:val="Marquenotebasdepage"/>
          <w:rFonts w:ascii="Times New Roman" w:hAnsi="Times New Roman"/>
        </w:rPr>
        <w:footnoteReference w:id="243"/>
      </w:r>
      <w:r>
        <w:rPr>
          <w:rFonts w:ascii="Times New Roman" w:hAnsi="Times New Roman"/>
        </w:rPr>
        <w:t>.</w:t>
      </w:r>
      <w:r w:rsidR="004F49E7">
        <w:rPr>
          <w:rFonts w:ascii="Times New Roman" w:hAnsi="Times New Roman"/>
        </w:rPr>
        <w:t xml:space="preserve"> </w:t>
      </w:r>
      <w:r>
        <w:rPr>
          <w:rFonts w:ascii="Times New Roman" w:hAnsi="Times New Roman"/>
        </w:rPr>
        <w:t xml:space="preserve">Il faut souligner que cette interprétation ne sera pas retenue par l’OMC dans les affaires ultérieures et notamment dans l’affaire </w:t>
      </w:r>
      <w:r w:rsidRPr="0023530C">
        <w:rPr>
          <w:rFonts w:ascii="Times New Roman" w:hAnsi="Times New Roman"/>
          <w:i/>
        </w:rPr>
        <w:t>Essence</w:t>
      </w:r>
      <w:r>
        <w:rPr>
          <w:rStyle w:val="Marquenotebasdepage"/>
          <w:rFonts w:ascii="Times New Roman" w:hAnsi="Times New Roman"/>
        </w:rPr>
        <w:footnoteReference w:id="244"/>
      </w:r>
      <w:r>
        <w:rPr>
          <w:rFonts w:ascii="Times New Roman" w:hAnsi="Times New Roman"/>
        </w:rPr>
        <w:t xml:space="preserve">. Le Groupe spécial a considéré que l’examen de la mesure eu égard à la liste des mesures spécifiques de l’article XX et de son alinéa </w:t>
      </w:r>
      <w:r w:rsidRPr="005334E8">
        <w:rPr>
          <w:rFonts w:ascii="Times New Roman" w:hAnsi="Times New Roman"/>
          <w:i/>
        </w:rPr>
        <w:t>g</w:t>
      </w:r>
      <w:r w:rsidRPr="00607631">
        <w:rPr>
          <w:rFonts w:ascii="Times New Roman" w:hAnsi="Times New Roman"/>
        </w:rPr>
        <w:t>)</w:t>
      </w:r>
      <w:r>
        <w:rPr>
          <w:rFonts w:ascii="Times New Roman" w:hAnsi="Times New Roman"/>
        </w:rPr>
        <w:t xml:space="preserve"> devait se poursuivre dans l’affaire </w:t>
      </w:r>
      <w:r>
        <w:rPr>
          <w:rFonts w:ascii="Times New Roman" w:hAnsi="Times New Roman"/>
          <w:i/>
        </w:rPr>
        <w:t>Thon</w:t>
      </w:r>
      <w:r w:rsidRPr="00155FED">
        <w:rPr>
          <w:rFonts w:ascii="Times New Roman" w:hAnsi="Times New Roman"/>
          <w:i/>
        </w:rPr>
        <w:t xml:space="preserve"> 1982</w:t>
      </w:r>
      <w:r w:rsidRPr="00607631">
        <w:rPr>
          <w:rStyle w:val="Marquenotebasdepage"/>
          <w:rFonts w:ascii="Times New Roman" w:hAnsi="Times New Roman"/>
        </w:rPr>
        <w:footnoteReference w:id="245"/>
      </w:r>
      <w:r>
        <w:rPr>
          <w:rFonts w:ascii="Times New Roman" w:hAnsi="Times New Roman"/>
        </w:rPr>
        <w:t>.</w:t>
      </w:r>
      <w:r w:rsidR="00846860">
        <w:rPr>
          <w:rFonts w:ascii="Times New Roman" w:hAnsi="Times New Roman"/>
        </w:rPr>
        <w:t xml:space="preserve"> </w:t>
      </w:r>
    </w:p>
    <w:p w14:paraId="4B763BE7" w14:textId="36E1C9A2" w:rsidR="00FE6B33" w:rsidRPr="009A441B" w:rsidRDefault="004F04B8" w:rsidP="009A441B">
      <w:pPr>
        <w:tabs>
          <w:tab w:val="left" w:pos="7720"/>
        </w:tabs>
        <w:spacing w:line="360" w:lineRule="auto"/>
        <w:jc w:val="both"/>
        <w:rPr>
          <w:rFonts w:ascii="Times New Roman" w:hAnsi="Times New Roman" w:cs="Times New Roman"/>
          <w:b/>
        </w:rPr>
      </w:pPr>
      <w:r w:rsidRPr="005F4457">
        <w:rPr>
          <w:rFonts w:ascii="Times New Roman" w:hAnsi="Times New Roman" w:cs="Times New Roman"/>
          <w:b/>
        </w:rPr>
        <w:t>II. Pratique de l’OMC en matière de règlement des différends</w:t>
      </w:r>
    </w:p>
    <w:p w14:paraId="46CA28B0" w14:textId="000B270E" w:rsidR="00720D92" w:rsidRPr="00EB084C" w:rsidRDefault="00486221" w:rsidP="00EB084C">
      <w:pPr>
        <w:spacing w:line="360" w:lineRule="auto"/>
        <w:jc w:val="both"/>
        <w:rPr>
          <w:rFonts w:ascii="Times New Roman" w:hAnsi="Times New Roman"/>
        </w:rPr>
      </w:pPr>
      <w:r>
        <w:rPr>
          <w:rFonts w:ascii="Times New Roman" w:hAnsi="Times New Roman" w:cs="Times New Roman"/>
        </w:rPr>
        <w:t xml:space="preserve">Dans l’affaire </w:t>
      </w:r>
      <w:r w:rsidRPr="005D2B9E">
        <w:rPr>
          <w:rFonts w:ascii="Times New Roman" w:hAnsi="Times New Roman" w:cs="Times New Roman"/>
          <w:i/>
        </w:rPr>
        <w:t>Essence</w:t>
      </w:r>
      <w:r>
        <w:rPr>
          <w:rFonts w:ascii="Times New Roman" w:hAnsi="Times New Roman" w:cs="Times New Roman"/>
        </w:rPr>
        <w:t xml:space="preserve">, </w:t>
      </w:r>
      <w:r>
        <w:rPr>
          <w:rFonts w:ascii="Times New Roman" w:hAnsi="Times New Roman"/>
        </w:rPr>
        <w:t>l’Organe d</w:t>
      </w:r>
      <w:r w:rsidR="00052622">
        <w:rPr>
          <w:rFonts w:ascii="Times New Roman" w:hAnsi="Times New Roman"/>
        </w:rPr>
        <w:t>’appel a interprété les concepts</w:t>
      </w:r>
      <w:r>
        <w:rPr>
          <w:rFonts w:ascii="Times New Roman" w:hAnsi="Times New Roman"/>
        </w:rPr>
        <w:t xml:space="preserve"> énoncés dans le chapeau de l’article XX à savoir « les discriminations arbitraires », « les discriminations injustifiables » et les « restrictions déguisées » au commerce international</w:t>
      </w:r>
      <w:r>
        <w:rPr>
          <w:rStyle w:val="Marquenotebasdepage"/>
          <w:rFonts w:ascii="Times New Roman" w:hAnsi="Times New Roman"/>
        </w:rPr>
        <w:footnoteReference w:id="246"/>
      </w:r>
      <w:r>
        <w:rPr>
          <w:rFonts w:ascii="Times New Roman" w:hAnsi="Times New Roman"/>
        </w:rPr>
        <w:t xml:space="preserve"> de manière globale, à la lumière de leur objet et de leur but, et cela, sans procéder à des définitions particulières</w:t>
      </w:r>
      <w:r w:rsidR="00052622">
        <w:rPr>
          <w:rStyle w:val="Marquenotebasdepage"/>
          <w:rFonts w:ascii="Times New Roman" w:hAnsi="Times New Roman"/>
        </w:rPr>
        <w:footnoteReference w:id="247"/>
      </w:r>
      <w:r>
        <w:rPr>
          <w:rFonts w:ascii="Times New Roman" w:hAnsi="Times New Roman"/>
        </w:rPr>
        <w:t>. Il a relevé que chacune de ces notions avait une influence sur les autres</w:t>
      </w:r>
      <w:r w:rsidR="001D5683">
        <w:rPr>
          <w:rFonts w:ascii="Times New Roman" w:hAnsi="Times New Roman"/>
        </w:rPr>
        <w:t xml:space="preserve">. </w:t>
      </w:r>
      <w:r w:rsidR="000478F3">
        <w:rPr>
          <w:rFonts w:ascii="Times New Roman" w:hAnsi="Times New Roman"/>
        </w:rPr>
        <w:t xml:space="preserve">Il </w:t>
      </w:r>
      <w:r w:rsidR="00C224B3">
        <w:rPr>
          <w:rFonts w:ascii="Times New Roman" w:hAnsi="Times New Roman"/>
        </w:rPr>
        <w:t>a précisé</w:t>
      </w:r>
      <w:r w:rsidR="000478F3">
        <w:rPr>
          <w:rFonts w:ascii="Times New Roman" w:hAnsi="Times New Roman"/>
        </w:rPr>
        <w:t xml:space="preserve"> que </w:t>
      </w:r>
      <w:r w:rsidR="00D544DD">
        <w:rPr>
          <w:rFonts w:ascii="Times New Roman" w:hAnsi="Times New Roman"/>
        </w:rPr>
        <w:t xml:space="preserve">si la « restriction déguisée » comprend la discrimination déguisée dans le commerce international, il faut également mentionner qu’une restriction ou une discrimination cachée ou non annoncée dans le commerce international n’épuise pas le sens de l’expression « restriction déguisée ». Ainsi, la « restriction déguisée », peut être interprétée </w:t>
      </w:r>
      <w:r w:rsidR="00D544DD" w:rsidRPr="00F93F3C">
        <w:rPr>
          <w:rFonts w:ascii="Times New Roman" w:hAnsi="Times New Roman"/>
        </w:rPr>
        <w:t>correctement comme</w:t>
      </w:r>
      <w:r w:rsidR="00C12EF2">
        <w:rPr>
          <w:rFonts w:ascii="Times New Roman" w:hAnsi="Times New Roman"/>
          <w:i/>
        </w:rPr>
        <w:t xml:space="preserve"> </w:t>
      </w:r>
      <w:r w:rsidR="00D544DD">
        <w:rPr>
          <w:rFonts w:ascii="Times New Roman" w:hAnsi="Times New Roman"/>
          <w:i/>
        </w:rPr>
        <w:t>« </w:t>
      </w:r>
      <w:r w:rsidR="00D544DD" w:rsidRPr="00B075CE">
        <w:rPr>
          <w:rFonts w:ascii="Times New Roman" w:hAnsi="Times New Roman"/>
          <w:i/>
        </w:rPr>
        <w:t>englobant les restrictions qui équivalent à une discrimination arbitraire ou injustifiable dans le commerce international et prennent l'apparence d'une mesure répondant dans sa forme aux conditions prescrites dans l'une des exceptions énumérées à l'article XX</w:t>
      </w:r>
      <w:r w:rsidR="00D544DD">
        <w:rPr>
          <w:rFonts w:ascii="Times New Roman" w:hAnsi="Times New Roman"/>
          <w:i/>
        </w:rPr>
        <w:t> »</w:t>
      </w:r>
      <w:r w:rsidR="00EB084C">
        <w:rPr>
          <w:rStyle w:val="Marquenotebasdepage"/>
          <w:rFonts w:ascii="Times New Roman" w:hAnsi="Times New Roman"/>
          <w:i/>
        </w:rPr>
        <w:footnoteReference w:id="248"/>
      </w:r>
      <w:r w:rsidR="00EB084C">
        <w:rPr>
          <w:rFonts w:ascii="Times New Roman" w:hAnsi="Times New Roman"/>
          <w:i/>
        </w:rPr>
        <w:t>.</w:t>
      </w:r>
      <w:r w:rsidR="00B075CE">
        <w:rPr>
          <w:rFonts w:ascii="Times New Roman" w:hAnsi="Times New Roman"/>
        </w:rPr>
        <w:t xml:space="preserve"> </w:t>
      </w:r>
      <w:r w:rsidR="00EB084C">
        <w:rPr>
          <w:rFonts w:ascii="Times New Roman" w:hAnsi="Times New Roman"/>
        </w:rPr>
        <w:t>I</w:t>
      </w:r>
      <w:r w:rsidR="00B075CE">
        <w:rPr>
          <w:rFonts w:ascii="Times New Roman" w:hAnsi="Times New Roman"/>
        </w:rPr>
        <w:t xml:space="preserve">l a également souligné que </w:t>
      </w:r>
      <w:r w:rsidR="00B075CE" w:rsidRPr="00052622">
        <w:rPr>
          <w:rFonts w:ascii="Times New Roman" w:hAnsi="Times New Roman"/>
          <w:i/>
        </w:rPr>
        <w:t>« l’élément fondamental trouvait son fondement dans le but et dans l’objet, qui sont d’éviter l’abus ou l’utilisation illégitime des exceptions aux r</w:t>
      </w:r>
      <w:r w:rsidR="003A4BE5">
        <w:rPr>
          <w:rFonts w:ascii="Times New Roman" w:hAnsi="Times New Roman"/>
          <w:i/>
        </w:rPr>
        <w:t>ègles de fond</w:t>
      </w:r>
      <w:r w:rsidR="00B075CE" w:rsidRPr="00052622">
        <w:rPr>
          <w:rFonts w:ascii="Times New Roman" w:hAnsi="Times New Roman"/>
          <w:i/>
        </w:rPr>
        <w:t xml:space="preserve"> prévues à l’article XX »</w:t>
      </w:r>
      <w:r w:rsidR="00B075CE">
        <w:rPr>
          <w:rFonts w:ascii="Times New Roman" w:hAnsi="Times New Roman"/>
        </w:rPr>
        <w:t>.</w:t>
      </w:r>
      <w:r w:rsidR="00B075CE">
        <w:rPr>
          <w:rStyle w:val="Marquenotebasdepage"/>
          <w:rFonts w:ascii="Times New Roman" w:hAnsi="Times New Roman"/>
        </w:rPr>
        <w:footnoteReference w:id="249"/>
      </w:r>
      <w:r w:rsidR="00D544DD">
        <w:rPr>
          <w:rFonts w:ascii="Times New Roman" w:hAnsi="Times New Roman"/>
        </w:rPr>
        <w:t xml:space="preserve">  </w:t>
      </w:r>
      <w:r w:rsidR="00477D94">
        <w:rPr>
          <w:rFonts w:ascii="Times New Roman" w:hAnsi="Times New Roman"/>
        </w:rPr>
        <w:t xml:space="preserve">Dans cette affaire, les Etats-Unis ont tenté de justifier le traitement moins favorable que subissaient les producteurs étrangers. L’Organe d’appel a refusé leurs arguments et leur </w:t>
      </w:r>
      <w:r w:rsidR="00904F6B">
        <w:rPr>
          <w:rFonts w:ascii="Times New Roman" w:hAnsi="Times New Roman"/>
        </w:rPr>
        <w:t>ont</w:t>
      </w:r>
      <w:r w:rsidR="003A4BE5">
        <w:rPr>
          <w:rFonts w:ascii="Times New Roman" w:hAnsi="Times New Roman"/>
        </w:rPr>
        <w:t xml:space="preserve"> reproché deux omissions</w:t>
      </w:r>
      <w:r w:rsidR="00C12EF2">
        <w:rPr>
          <w:rStyle w:val="Marquenotebasdepage"/>
          <w:rFonts w:ascii="Times New Roman" w:hAnsi="Times New Roman"/>
        </w:rPr>
        <w:footnoteReference w:id="250"/>
      </w:r>
      <w:r w:rsidR="003A4BE5">
        <w:rPr>
          <w:rFonts w:ascii="Times New Roman" w:hAnsi="Times New Roman"/>
        </w:rPr>
        <w:t xml:space="preserve">. </w:t>
      </w:r>
      <w:r w:rsidR="003A4BE5" w:rsidRPr="00C12EF2">
        <w:rPr>
          <w:rFonts w:ascii="Times New Roman" w:hAnsi="Times New Roman"/>
        </w:rPr>
        <w:t>Premièrement,</w:t>
      </w:r>
      <w:r w:rsidR="003A4BE5">
        <w:rPr>
          <w:rFonts w:ascii="Times New Roman" w:hAnsi="Times New Roman"/>
        </w:rPr>
        <w:t xml:space="preserve"> </w:t>
      </w:r>
      <w:r w:rsidR="00477D94">
        <w:rPr>
          <w:rFonts w:ascii="Times New Roman" w:hAnsi="Times New Roman"/>
        </w:rPr>
        <w:t>ils n’avaient pas étudié de manière adéquate les moyens visant à permettre aux producteurs étrangers d’accorder le même traitement que celui dont bénéficiai</w:t>
      </w:r>
      <w:r w:rsidR="000478F3">
        <w:rPr>
          <w:rFonts w:ascii="Times New Roman" w:hAnsi="Times New Roman"/>
        </w:rPr>
        <w:t>en</w:t>
      </w:r>
      <w:r w:rsidR="00477D94">
        <w:rPr>
          <w:rFonts w:ascii="Times New Roman" w:hAnsi="Times New Roman"/>
        </w:rPr>
        <w:t>t les producteurs</w:t>
      </w:r>
      <w:r w:rsidR="003A4BE5">
        <w:rPr>
          <w:rFonts w:ascii="Times New Roman" w:hAnsi="Times New Roman"/>
        </w:rPr>
        <w:t xml:space="preserve"> nationaux</w:t>
      </w:r>
      <w:r w:rsidR="004C080D">
        <w:rPr>
          <w:rStyle w:val="Marquenotebasdepage"/>
          <w:rFonts w:ascii="Times New Roman" w:hAnsi="Times New Roman"/>
        </w:rPr>
        <w:footnoteReference w:id="251"/>
      </w:r>
      <w:r w:rsidR="003A4BE5">
        <w:rPr>
          <w:rFonts w:ascii="Times New Roman" w:hAnsi="Times New Roman"/>
        </w:rPr>
        <w:t xml:space="preserve">. </w:t>
      </w:r>
      <w:r w:rsidR="003A4BE5" w:rsidRPr="00C12EF2">
        <w:rPr>
          <w:rFonts w:ascii="Times New Roman" w:hAnsi="Times New Roman"/>
        </w:rPr>
        <w:t>Deuxièmement,</w:t>
      </w:r>
      <w:r w:rsidR="003A4BE5">
        <w:rPr>
          <w:rFonts w:ascii="Times New Roman" w:hAnsi="Times New Roman"/>
        </w:rPr>
        <w:t xml:space="preserve"> </w:t>
      </w:r>
      <w:r w:rsidR="00477D94">
        <w:rPr>
          <w:rFonts w:ascii="Times New Roman" w:hAnsi="Times New Roman"/>
        </w:rPr>
        <w:t xml:space="preserve">ils n’avaient pas pris en compte </w:t>
      </w:r>
      <w:r w:rsidR="00C576C4">
        <w:rPr>
          <w:rFonts w:ascii="Times New Roman" w:hAnsi="Times New Roman"/>
        </w:rPr>
        <w:t>l</w:t>
      </w:r>
      <w:r w:rsidR="00520179">
        <w:rPr>
          <w:rFonts w:ascii="Times New Roman" w:hAnsi="Times New Roman"/>
        </w:rPr>
        <w:t>es</w:t>
      </w:r>
      <w:r w:rsidR="00477D94">
        <w:rPr>
          <w:rFonts w:ascii="Times New Roman" w:hAnsi="Times New Roman"/>
        </w:rPr>
        <w:t xml:space="preserve"> coûts</w:t>
      </w:r>
      <w:r w:rsidR="00520179">
        <w:rPr>
          <w:rFonts w:ascii="Times New Roman" w:hAnsi="Times New Roman"/>
        </w:rPr>
        <w:t xml:space="preserve"> engendrés par l’application d’une norme plus stricte pour les producteurs étrangers, alors que les producteurs nationaux évitaient ces c</w:t>
      </w:r>
      <w:r w:rsidR="00C576C4">
        <w:rPr>
          <w:rFonts w:ascii="Times New Roman" w:hAnsi="Times New Roman"/>
        </w:rPr>
        <w:t>oûts</w:t>
      </w:r>
      <w:r w:rsidR="004C080D">
        <w:rPr>
          <w:rStyle w:val="Marquenotebasdepage"/>
          <w:rFonts w:ascii="Times New Roman" w:hAnsi="Times New Roman"/>
        </w:rPr>
        <w:footnoteReference w:id="252"/>
      </w:r>
      <w:r w:rsidR="00C576C4">
        <w:rPr>
          <w:rFonts w:ascii="Times New Roman" w:hAnsi="Times New Roman"/>
        </w:rPr>
        <w:t>. L’Organe d’appel a énoncé que</w:t>
      </w:r>
      <w:r w:rsidR="00520179">
        <w:rPr>
          <w:rFonts w:ascii="Times New Roman" w:hAnsi="Times New Roman"/>
        </w:rPr>
        <w:t xml:space="preserve"> : </w:t>
      </w:r>
      <w:r w:rsidR="00D2101D" w:rsidRPr="00597D28">
        <w:rPr>
          <w:rFonts w:ascii="Times New Roman" w:hAnsi="Times New Roman" w:cs="Times New Roman"/>
          <w:i/>
        </w:rPr>
        <w:t>« </w:t>
      </w:r>
      <w:r w:rsidR="00520179" w:rsidRPr="00597D28">
        <w:rPr>
          <w:rFonts w:ascii="Times New Roman" w:hAnsi="Times New Roman" w:cs="Times New Roman"/>
          <w:i/>
        </w:rPr>
        <w:t xml:space="preserve">ces deux omissions vont bien au-delà de ce qui était nécessaire au Groupe spécial pour déterminer qu'il y avait eu en premier </w:t>
      </w:r>
      <w:r w:rsidR="000478F3" w:rsidRPr="00597D28">
        <w:rPr>
          <w:rFonts w:ascii="Times New Roman" w:hAnsi="Times New Roman" w:cs="Times New Roman"/>
          <w:i/>
        </w:rPr>
        <w:t>lieu violation de l'article III :</w:t>
      </w:r>
      <w:r w:rsidR="00520179" w:rsidRPr="00597D28">
        <w:rPr>
          <w:rFonts w:ascii="Times New Roman" w:hAnsi="Times New Roman" w:cs="Times New Roman"/>
          <w:i/>
        </w:rPr>
        <w:t>4. La discrimination qui en a résulté devait avoir été prévue, et n'était pas purement accidentelle ou inévitable »</w:t>
      </w:r>
      <w:r w:rsidR="00C12EF2">
        <w:rPr>
          <w:rStyle w:val="Marquenotebasdepage"/>
          <w:rFonts w:ascii="Times New Roman" w:hAnsi="Times New Roman" w:cs="Times New Roman"/>
          <w:i/>
        </w:rPr>
        <w:footnoteReference w:id="253"/>
      </w:r>
      <w:r w:rsidR="00597D28">
        <w:rPr>
          <w:rFonts w:ascii="Times New Roman" w:hAnsi="Times New Roman" w:cs="Times New Roman"/>
        </w:rPr>
        <w:t>.</w:t>
      </w:r>
      <w:r w:rsidR="00720D92">
        <w:rPr>
          <w:rFonts w:ascii="Times New Roman" w:hAnsi="Times New Roman" w:cs="Times New Roman"/>
        </w:rPr>
        <w:t xml:space="preserve"> </w:t>
      </w:r>
      <w:r w:rsidR="00597D28">
        <w:rPr>
          <w:rFonts w:ascii="Times New Roman" w:hAnsi="Times New Roman" w:cs="Times New Roman"/>
        </w:rPr>
        <w:t>I</w:t>
      </w:r>
      <w:r w:rsidR="00720D92">
        <w:rPr>
          <w:rFonts w:ascii="Times New Roman" w:hAnsi="Times New Roman" w:cs="Times New Roman"/>
        </w:rPr>
        <w:t>l a ainsi</w:t>
      </w:r>
      <w:r w:rsidR="00520179">
        <w:rPr>
          <w:rFonts w:ascii="Times New Roman" w:hAnsi="Times New Roman" w:cs="Times New Roman"/>
        </w:rPr>
        <w:t xml:space="preserve"> considéré que l’application des règles d’établissement des niveaux de base issues de la Réglementation sur l’essence constituait une « discrimination injustifiable » et une « restriction déguisée au commerce international »</w:t>
      </w:r>
      <w:r w:rsidR="00C576C4">
        <w:rPr>
          <w:rStyle w:val="Marquenotebasdepage"/>
          <w:rFonts w:ascii="Times New Roman" w:hAnsi="Times New Roman" w:cs="Times New Roman"/>
        </w:rPr>
        <w:footnoteReference w:id="254"/>
      </w:r>
      <w:r w:rsidR="00520179">
        <w:rPr>
          <w:rFonts w:ascii="Times New Roman" w:hAnsi="Times New Roman" w:cs="Times New Roman"/>
        </w:rPr>
        <w:t xml:space="preserve">. </w:t>
      </w:r>
    </w:p>
    <w:p w14:paraId="06FAFCEC" w14:textId="77777777" w:rsidR="00C576C4" w:rsidRPr="00E27253" w:rsidRDefault="00C576C4" w:rsidP="00E27253">
      <w:pPr>
        <w:pStyle w:val="Notedebasdepage"/>
        <w:spacing w:line="360" w:lineRule="auto"/>
        <w:ind w:firstLine="708"/>
        <w:jc w:val="both"/>
        <w:rPr>
          <w:rFonts w:ascii="Times New Roman" w:hAnsi="Times New Roman"/>
        </w:rPr>
      </w:pPr>
    </w:p>
    <w:p w14:paraId="360E46E1" w14:textId="5A6F464C" w:rsidR="009158DE" w:rsidRPr="003F71B4" w:rsidRDefault="00592A28" w:rsidP="00520179">
      <w:pPr>
        <w:pStyle w:val="Notedebasdepage"/>
        <w:spacing w:line="360" w:lineRule="auto"/>
        <w:jc w:val="both"/>
        <w:rPr>
          <w:rFonts w:ascii="Times New Roman" w:hAnsi="Times New Roman" w:cs="Times New Roman"/>
        </w:rPr>
      </w:pPr>
      <w:r w:rsidRPr="00CD7594">
        <w:rPr>
          <w:rFonts w:ascii="Times New Roman" w:hAnsi="Times New Roman" w:cs="Times New Roman"/>
          <w:lang w:val="nl-NL"/>
        </w:rPr>
        <w:t xml:space="preserve">La question de savoir s’il existe un chevauchement entre l’obligation </w:t>
      </w:r>
      <w:r w:rsidR="00C106AB" w:rsidRPr="00CD7594">
        <w:rPr>
          <w:rFonts w:ascii="Times New Roman" w:hAnsi="Times New Roman" w:cs="Times New Roman"/>
        </w:rPr>
        <w:t>d'éviter une « </w:t>
      </w:r>
      <w:r w:rsidRPr="00CD7594">
        <w:rPr>
          <w:rFonts w:ascii="Times New Roman" w:hAnsi="Times New Roman" w:cs="Times New Roman"/>
        </w:rPr>
        <w:t>discrimination arbitraire ou injustifiable entre les pays où les mêmes conditions existent ou une restriction dég</w:t>
      </w:r>
      <w:r w:rsidR="00C106AB" w:rsidRPr="00CD7594">
        <w:rPr>
          <w:rFonts w:ascii="Times New Roman" w:hAnsi="Times New Roman" w:cs="Times New Roman"/>
        </w:rPr>
        <w:t>uisée au commerce international »</w:t>
      </w:r>
      <w:r w:rsidR="00E87F9C" w:rsidRPr="00CD7594">
        <w:rPr>
          <w:rFonts w:ascii="Times New Roman" w:hAnsi="Times New Roman" w:cs="Times New Roman"/>
        </w:rPr>
        <w:t xml:space="preserve"> énoncée dans le chapeau</w:t>
      </w:r>
      <w:r w:rsidRPr="00CD7594">
        <w:rPr>
          <w:rFonts w:ascii="Times New Roman" w:hAnsi="Times New Roman" w:cs="Times New Roman"/>
        </w:rPr>
        <w:t xml:space="preserve"> de l'article XX et les principes du traitement de la nation la plus favorisée et d</w:t>
      </w:r>
      <w:r w:rsidR="00CB529D" w:rsidRPr="00CD7594">
        <w:rPr>
          <w:rFonts w:ascii="Times New Roman" w:hAnsi="Times New Roman" w:cs="Times New Roman"/>
        </w:rPr>
        <w:t xml:space="preserve">u traitement national, qui sont </w:t>
      </w:r>
      <w:r w:rsidRPr="00CD7594">
        <w:rPr>
          <w:rFonts w:ascii="Times New Roman" w:hAnsi="Times New Roman" w:cs="Times New Roman"/>
        </w:rPr>
        <w:t xml:space="preserve">énoncés respectivement aux articles I et III, ou si cette obligation doit être considérée comme un type de non-discrimination </w:t>
      </w:r>
      <w:r w:rsidRPr="00CD7594">
        <w:rPr>
          <w:rFonts w:ascii="Times New Roman" w:hAnsi="Times New Roman" w:cs="Times New Roman"/>
          <w:i/>
        </w:rPr>
        <w:t>sui generis</w:t>
      </w:r>
      <w:r w:rsidR="00904F6B">
        <w:rPr>
          <w:rFonts w:ascii="Times New Roman" w:hAnsi="Times New Roman" w:cs="Times New Roman"/>
          <w:i/>
        </w:rPr>
        <w:t>,</w:t>
      </w:r>
      <w:r w:rsidR="00C12EF2" w:rsidRPr="00CD7594">
        <w:rPr>
          <w:rFonts w:ascii="Times New Roman" w:hAnsi="Times New Roman" w:cs="Times New Roman"/>
          <w:i/>
        </w:rPr>
        <w:t xml:space="preserve"> </w:t>
      </w:r>
      <w:r w:rsidR="003F71B4" w:rsidRPr="00CD7594">
        <w:rPr>
          <w:rFonts w:ascii="Times New Roman" w:hAnsi="Times New Roman" w:cs="Times New Roman"/>
        </w:rPr>
        <w:t>est importante</w:t>
      </w:r>
      <w:r w:rsidR="00C12EF2" w:rsidRPr="00CD7594">
        <w:rPr>
          <w:rStyle w:val="Marquenotebasdepage"/>
          <w:rFonts w:ascii="Times New Roman" w:hAnsi="Times New Roman" w:cs="Times New Roman"/>
        </w:rPr>
        <w:footnoteReference w:id="255"/>
      </w:r>
      <w:r w:rsidR="00597D28" w:rsidRPr="00CD7594">
        <w:rPr>
          <w:rFonts w:ascii="Times New Roman" w:hAnsi="Times New Roman" w:cs="Times New Roman"/>
        </w:rPr>
        <w:t xml:space="preserve">. </w:t>
      </w:r>
      <w:r w:rsidRPr="00CD7594">
        <w:rPr>
          <w:rFonts w:ascii="Times New Roman" w:hAnsi="Times New Roman" w:cs="Times New Roman"/>
        </w:rPr>
        <w:t xml:space="preserve">Dans l'affaire </w:t>
      </w:r>
      <w:r w:rsidRPr="00CD7594">
        <w:rPr>
          <w:rFonts w:ascii="Times New Roman" w:hAnsi="Times New Roman" w:cs="Times New Roman"/>
          <w:i/>
        </w:rPr>
        <w:t>Essence</w:t>
      </w:r>
      <w:r w:rsidRPr="00CD7594">
        <w:rPr>
          <w:rFonts w:ascii="Times New Roman" w:hAnsi="Times New Roman" w:cs="Times New Roman"/>
        </w:rPr>
        <w:t>, l'Organe d'appel a considéré qu’il s’agissait de la seconde approche. En effet, celui-ci constate</w:t>
      </w:r>
      <w:r w:rsidR="009158DE" w:rsidRPr="00CD7594">
        <w:rPr>
          <w:rFonts w:ascii="Times New Roman" w:hAnsi="Times New Roman" w:cs="Times New Roman"/>
        </w:rPr>
        <w:t xml:space="preserve"> </w:t>
      </w:r>
      <w:r w:rsidR="003F71B4" w:rsidRPr="00CD7594">
        <w:rPr>
          <w:rFonts w:ascii="Times New Roman" w:hAnsi="Times New Roman" w:cs="Times New Roman"/>
        </w:rPr>
        <w:t>que</w:t>
      </w:r>
      <w:r w:rsidR="009158DE" w:rsidRPr="00CD7594">
        <w:rPr>
          <w:rFonts w:ascii="Times New Roman" w:hAnsi="Times New Roman" w:cs="Times New Roman"/>
        </w:rPr>
        <w:t xml:space="preserve"> l'application de l'article XX ne serait </w:t>
      </w:r>
      <w:r w:rsidR="00CB529D" w:rsidRPr="00CD7594">
        <w:rPr>
          <w:rFonts w:ascii="Times New Roman" w:hAnsi="Times New Roman" w:cs="Times New Roman"/>
        </w:rPr>
        <w:t>pas emprunt</w:t>
      </w:r>
      <w:r w:rsidR="00C106AB" w:rsidRPr="00CD7594">
        <w:rPr>
          <w:rFonts w:ascii="Times New Roman" w:hAnsi="Times New Roman" w:cs="Times New Roman"/>
        </w:rPr>
        <w:t xml:space="preserve"> de beaucoup d’utilité</w:t>
      </w:r>
      <w:r w:rsidR="00C106AB">
        <w:rPr>
          <w:rFonts w:ascii="Times New Roman" w:hAnsi="Times New Roman" w:cs="Times New Roman"/>
        </w:rPr>
        <w:t> </w:t>
      </w:r>
      <w:r w:rsidR="009158DE" w:rsidRPr="009158DE">
        <w:rPr>
          <w:rFonts w:ascii="Times New Roman" w:hAnsi="Times New Roman" w:cs="Times New Roman"/>
          <w:i/>
        </w:rPr>
        <w:t>« si elle ne consistait qu'à appliquer le critère utilisé pour constater que les règles d'établissement des niveaux de base étaient incompatibles avec l'article III:4. Il en serait de même si la constatation portait sur une incompatibilité avec une autre règle de fond de l'Accord général</w:t>
      </w:r>
      <w:r w:rsidR="009158DE">
        <w:rPr>
          <w:rFonts w:ascii="Times New Roman" w:hAnsi="Times New Roman" w:cs="Times New Roman"/>
          <w:i/>
        </w:rPr>
        <w:t>.</w:t>
      </w:r>
      <w:r w:rsidR="003F71B4">
        <w:rPr>
          <w:rFonts w:ascii="Times New Roman" w:hAnsi="Times New Roman" w:cs="Times New Roman"/>
          <w:i/>
        </w:rPr>
        <w:t> »</w:t>
      </w:r>
      <w:r w:rsidR="009158DE">
        <w:rPr>
          <w:rFonts w:ascii="Times New Roman" w:hAnsi="Times New Roman" w:cs="Times New Roman"/>
          <w:i/>
        </w:rPr>
        <w:t xml:space="preserve"> </w:t>
      </w:r>
      <w:r w:rsidR="009158DE" w:rsidRPr="009158DE">
        <w:rPr>
          <w:rFonts w:ascii="Times New Roman" w:hAnsi="Times New Roman" w:cs="Times New Roman"/>
          <w:i/>
        </w:rPr>
        <w:t>Les dispositions du texte introductif ne peuvent pas, logiquement, se référer aux mêmes critères que ceux qui ont été utilisés pour déterminer qu'il y a e</w:t>
      </w:r>
      <w:r w:rsidR="003F71B4">
        <w:rPr>
          <w:rFonts w:ascii="Times New Roman" w:hAnsi="Times New Roman" w:cs="Times New Roman"/>
          <w:i/>
        </w:rPr>
        <w:t xml:space="preserve">u violation d'une règle de fond </w:t>
      </w:r>
      <w:r w:rsidR="009158DE">
        <w:rPr>
          <w:rFonts w:ascii="Times New Roman" w:hAnsi="Times New Roman" w:cs="Times New Roman"/>
          <w:i/>
        </w:rPr>
        <w:t>»</w:t>
      </w:r>
      <w:r w:rsidR="003F71B4">
        <w:rPr>
          <w:rFonts w:ascii="Times New Roman" w:hAnsi="Times New Roman" w:cs="Times New Roman"/>
          <w:i/>
        </w:rPr>
        <w:t>.</w:t>
      </w:r>
      <w:r w:rsidR="00BF73F5">
        <w:rPr>
          <w:rStyle w:val="Marquenotebasdepage"/>
          <w:rFonts w:ascii="Times New Roman" w:hAnsi="Times New Roman" w:cs="Times New Roman"/>
        </w:rPr>
        <w:footnoteReference w:id="256"/>
      </w:r>
      <w:r w:rsidR="00BF73F5">
        <w:rPr>
          <w:rFonts w:ascii="Times New Roman" w:hAnsi="Times New Roman" w:cs="Times New Roman"/>
        </w:rPr>
        <w:t xml:space="preserve"> </w:t>
      </w:r>
      <w:r w:rsidR="009158DE" w:rsidRPr="009158DE">
        <w:rPr>
          <w:rFonts w:ascii="Times New Roman" w:hAnsi="Times New Roman" w:cs="Times New Roman"/>
        </w:rPr>
        <w:t xml:space="preserve">Selon lui, une telle application de </w:t>
      </w:r>
      <w:r w:rsidR="009158DE">
        <w:rPr>
          <w:rFonts w:ascii="Times New Roman" w:hAnsi="Times New Roman" w:cs="Times New Roman"/>
        </w:rPr>
        <w:t>l’article XX conduirait no</w:t>
      </w:r>
      <w:r w:rsidR="00E87F9C">
        <w:rPr>
          <w:rFonts w:ascii="Times New Roman" w:hAnsi="Times New Roman" w:cs="Times New Roman"/>
        </w:rPr>
        <w:t>n seulement à vider le chapeau</w:t>
      </w:r>
      <w:r w:rsidR="009158DE">
        <w:rPr>
          <w:rFonts w:ascii="Times New Roman" w:hAnsi="Times New Roman" w:cs="Times New Roman"/>
        </w:rPr>
        <w:t xml:space="preserve"> de son sens et à enlever toute signification aux exceptions issues des paragraphes </w:t>
      </w:r>
      <w:r w:rsidR="009158DE" w:rsidRPr="009158DE">
        <w:rPr>
          <w:rFonts w:ascii="Times New Roman" w:hAnsi="Times New Roman" w:cs="Times New Roman"/>
          <w:i/>
        </w:rPr>
        <w:t>a)</w:t>
      </w:r>
      <w:r w:rsidR="009158DE">
        <w:rPr>
          <w:rFonts w:ascii="Times New Roman" w:hAnsi="Times New Roman" w:cs="Times New Roman"/>
        </w:rPr>
        <w:t xml:space="preserve"> à </w:t>
      </w:r>
      <w:r w:rsidR="009158DE" w:rsidRPr="009158DE">
        <w:rPr>
          <w:rFonts w:ascii="Times New Roman" w:hAnsi="Times New Roman" w:cs="Times New Roman"/>
          <w:i/>
        </w:rPr>
        <w:t>j)</w:t>
      </w:r>
      <w:r w:rsidR="009158DE">
        <w:rPr>
          <w:rFonts w:ascii="Times New Roman" w:hAnsi="Times New Roman" w:cs="Times New Roman"/>
        </w:rPr>
        <w:t xml:space="preserve"> mais également à</w:t>
      </w:r>
      <w:r w:rsidR="00BF73F5">
        <w:rPr>
          <w:rFonts w:ascii="Times New Roman" w:hAnsi="Times New Roman" w:cs="Times New Roman"/>
        </w:rPr>
        <w:t xml:space="preserve"> effectuer une confusion entre d’une part, la question de savoir si une incompatibilité avec une règle de fond existe, et d’</w:t>
      </w:r>
      <w:r w:rsidR="00E27253">
        <w:rPr>
          <w:rFonts w:ascii="Times New Roman" w:hAnsi="Times New Roman" w:cs="Times New Roman"/>
        </w:rPr>
        <w:t>autre part, celle de</w:t>
      </w:r>
      <w:r w:rsidR="00BF73F5">
        <w:rPr>
          <w:rFonts w:ascii="Times New Roman" w:hAnsi="Times New Roman" w:cs="Times New Roman"/>
        </w:rPr>
        <w:t xml:space="preserve"> savoir si cette incompatibilité soulevée au titre du </w:t>
      </w:r>
      <w:r w:rsidR="00E87F9C">
        <w:rPr>
          <w:rFonts w:ascii="Times New Roman" w:hAnsi="Times New Roman" w:cs="Times New Roman"/>
        </w:rPr>
        <w:t xml:space="preserve">chapeau </w:t>
      </w:r>
      <w:r w:rsidR="00BF73F5">
        <w:rPr>
          <w:rFonts w:ascii="Times New Roman" w:hAnsi="Times New Roman" w:cs="Times New Roman"/>
        </w:rPr>
        <w:t>de l’article XX est justifiée</w:t>
      </w:r>
      <w:r w:rsidR="00BF73F5">
        <w:rPr>
          <w:rStyle w:val="Marquenotebasdepage"/>
          <w:rFonts w:ascii="Times New Roman" w:hAnsi="Times New Roman" w:cs="Times New Roman"/>
        </w:rPr>
        <w:footnoteReference w:id="257"/>
      </w:r>
      <w:r w:rsidR="00BF73F5">
        <w:rPr>
          <w:rFonts w:ascii="Times New Roman" w:hAnsi="Times New Roman" w:cs="Times New Roman"/>
        </w:rPr>
        <w:t xml:space="preserve">. L’Organe d’appel souligne également que l’un des corollaires de la règle d’interprétation de la Convention de Vienne est que </w:t>
      </w:r>
      <w:r w:rsidR="00BF73F5" w:rsidRPr="00E27253">
        <w:rPr>
          <w:rFonts w:ascii="Times New Roman" w:hAnsi="Times New Roman" w:cs="Times New Roman"/>
          <w:i/>
        </w:rPr>
        <w:t>« l’interprétation doit donner sens et effet à tous les termes d’un traité. Un interprète n'est pas libre d'adopter une interprétation qui aurait pour résultat de rendre redondants ou inutiles des clauses ou des paragraphes entiers d'un traité »</w:t>
      </w:r>
      <w:r w:rsidR="00BF73F5">
        <w:rPr>
          <w:rStyle w:val="Marquenotebasdepage"/>
          <w:rFonts w:ascii="Times New Roman" w:hAnsi="Times New Roman" w:cs="Times New Roman"/>
        </w:rPr>
        <w:footnoteReference w:id="258"/>
      </w:r>
      <w:r w:rsidR="00BF73F5">
        <w:rPr>
          <w:rFonts w:ascii="Times New Roman" w:hAnsi="Times New Roman" w:cs="Times New Roman"/>
        </w:rPr>
        <w:t>.</w:t>
      </w:r>
    </w:p>
    <w:p w14:paraId="16EFDF8A" w14:textId="77777777" w:rsidR="009158DE" w:rsidRDefault="009158DE" w:rsidP="00520179">
      <w:pPr>
        <w:pStyle w:val="Notedebasdepage"/>
        <w:spacing w:line="360" w:lineRule="auto"/>
        <w:jc w:val="both"/>
        <w:rPr>
          <w:rFonts w:ascii="Times New Roman" w:hAnsi="Times New Roman" w:cs="Times New Roman"/>
        </w:rPr>
      </w:pPr>
    </w:p>
    <w:p w14:paraId="5DFAFA6C" w14:textId="77777777" w:rsidR="000B6F2C" w:rsidRPr="00771D9D" w:rsidRDefault="000B6F2C" w:rsidP="00714495">
      <w:pPr>
        <w:spacing w:line="360" w:lineRule="auto"/>
        <w:jc w:val="both"/>
        <w:rPr>
          <w:rFonts w:ascii="Times New Roman" w:hAnsi="Times New Roman" w:cs="Times New Roman"/>
        </w:rPr>
      </w:pPr>
      <w:r w:rsidRPr="00DF3638">
        <w:rPr>
          <w:rFonts w:ascii="Times New Roman" w:hAnsi="Times New Roman" w:cs="Times New Roman"/>
        </w:rPr>
        <w:t xml:space="preserve">Dans l’affaire </w:t>
      </w:r>
      <w:r w:rsidRPr="00E27253">
        <w:rPr>
          <w:rFonts w:ascii="Times New Roman" w:hAnsi="Times New Roman" w:cs="Times New Roman"/>
          <w:i/>
        </w:rPr>
        <w:t>Crevette</w:t>
      </w:r>
      <w:r>
        <w:rPr>
          <w:rFonts w:ascii="Times New Roman" w:hAnsi="Times New Roman" w:cs="Times New Roman"/>
          <w:i/>
        </w:rPr>
        <w:t>s</w:t>
      </w:r>
      <w:r>
        <w:rPr>
          <w:rStyle w:val="Marquenotebasdepage"/>
          <w:rFonts w:ascii="Times New Roman" w:hAnsi="Times New Roman" w:cs="Times New Roman"/>
          <w:i/>
        </w:rPr>
        <w:footnoteReference w:id="259"/>
      </w:r>
      <w:r w:rsidRPr="00DF3638">
        <w:rPr>
          <w:rFonts w:ascii="Times New Roman" w:hAnsi="Times New Roman" w:cs="Times New Roman"/>
        </w:rPr>
        <w:t>, le Groupe spécial a considéré qu’il co</w:t>
      </w:r>
      <w:r>
        <w:rPr>
          <w:rFonts w:ascii="Times New Roman" w:hAnsi="Times New Roman" w:cs="Times New Roman"/>
        </w:rPr>
        <w:t xml:space="preserve">nvenait en premier lieu de </w:t>
      </w:r>
      <w:r w:rsidRPr="003F71B4">
        <w:rPr>
          <w:rFonts w:ascii="Times New Roman" w:hAnsi="Times New Roman" w:cs="Times New Roman"/>
        </w:rPr>
        <w:t>déterminer si la portée de l’article XX s’étendait</w:t>
      </w:r>
      <w:r w:rsidRPr="00771D9D">
        <w:rPr>
          <w:rFonts w:ascii="Times New Roman" w:hAnsi="Times New Roman" w:cs="Times New Roman"/>
          <w:i/>
        </w:rPr>
        <w:t xml:space="preserve"> </w:t>
      </w:r>
      <w:r>
        <w:rPr>
          <w:rFonts w:ascii="Times New Roman" w:hAnsi="Times New Roman" w:cs="Times New Roman"/>
          <w:i/>
        </w:rPr>
        <w:t>« </w:t>
      </w:r>
      <w:r w:rsidRPr="00771D9D">
        <w:rPr>
          <w:rFonts w:ascii="Times New Roman" w:hAnsi="Times New Roman" w:cs="Times New Roman"/>
          <w:i/>
        </w:rPr>
        <w:t>à des mesures par lesquelles un Membre subordonne l’accès à son marché pour un produit déterminé à l’adoption de certaines politiques de conservation par le(s) Membre(s) exportateur(s) »</w:t>
      </w:r>
      <w:r>
        <w:rPr>
          <w:rStyle w:val="Marquenotebasdepage"/>
          <w:rFonts w:ascii="Times New Roman" w:hAnsi="Times New Roman" w:cs="Times New Roman"/>
        </w:rPr>
        <w:footnoteReference w:id="260"/>
      </w:r>
      <w:r w:rsidRPr="00DF3638">
        <w:rPr>
          <w:rFonts w:ascii="Times New Roman" w:hAnsi="Times New Roman" w:cs="Times New Roman"/>
        </w:rPr>
        <w:t>. Ainsi, le Groupe spécial a tout d’abord examiné si les mesures incriminées remplissaient les cond</w:t>
      </w:r>
      <w:r>
        <w:rPr>
          <w:rFonts w:ascii="Times New Roman" w:hAnsi="Times New Roman" w:cs="Times New Roman"/>
        </w:rPr>
        <w:t>itions issues du chapeau</w:t>
      </w:r>
      <w:r w:rsidRPr="00DF3638">
        <w:rPr>
          <w:rFonts w:ascii="Times New Roman" w:hAnsi="Times New Roman" w:cs="Times New Roman"/>
        </w:rPr>
        <w:t xml:space="preserve"> étant donné que </w:t>
      </w:r>
      <w:r w:rsidRPr="00795688">
        <w:rPr>
          <w:rFonts w:ascii="Times New Roman" w:hAnsi="Times New Roman" w:cs="Times New Roman"/>
          <w:i/>
        </w:rPr>
        <w:t>« le texte introductif détermine dans un</w:t>
      </w:r>
      <w:r>
        <w:rPr>
          <w:rFonts w:ascii="Times New Roman" w:hAnsi="Times New Roman" w:cs="Times New Roman"/>
          <w:i/>
        </w:rPr>
        <w:t>e</w:t>
      </w:r>
      <w:r w:rsidRPr="00795688">
        <w:rPr>
          <w:rFonts w:ascii="Times New Roman" w:hAnsi="Times New Roman" w:cs="Times New Roman"/>
          <w:i/>
        </w:rPr>
        <w:t xml:space="preserve"> large mesure le contexte des exceptions spécifiques énoncées aux alinéas de l’article XX »</w:t>
      </w:r>
      <w:r w:rsidRPr="00DF3638">
        <w:rPr>
          <w:rStyle w:val="Marquenotebasdepage"/>
          <w:rFonts w:ascii="Times New Roman" w:hAnsi="Times New Roman" w:cs="Times New Roman"/>
        </w:rPr>
        <w:footnoteReference w:id="261"/>
      </w:r>
      <w:r w:rsidRPr="00DF3638">
        <w:rPr>
          <w:rFonts w:ascii="Times New Roman" w:hAnsi="Times New Roman" w:cs="Times New Roman"/>
        </w:rPr>
        <w:t>. Ensuite, il a examiné si la mesure américaine était une discrimination « injustifiable » entre pays où les mêmes conditions existent</w:t>
      </w:r>
      <w:r w:rsidRPr="00DF3638">
        <w:rPr>
          <w:rStyle w:val="Marquenotebasdepage"/>
          <w:rFonts w:ascii="Times New Roman" w:hAnsi="Times New Roman" w:cs="Times New Roman"/>
        </w:rPr>
        <w:footnoteReference w:id="262"/>
      </w:r>
      <w:r w:rsidRPr="00DF3638">
        <w:rPr>
          <w:rFonts w:ascii="Times New Roman" w:hAnsi="Times New Roman" w:cs="Times New Roman"/>
        </w:rPr>
        <w:t>. Selon lui, le terme « injustifiable » n’avait ja</w:t>
      </w:r>
      <w:r>
        <w:rPr>
          <w:rFonts w:ascii="Times New Roman" w:hAnsi="Times New Roman" w:cs="Times New Roman"/>
        </w:rPr>
        <w:t>mais été interprété de manière</w:t>
      </w:r>
      <w:r w:rsidRPr="00DF3638">
        <w:rPr>
          <w:rFonts w:ascii="Times New Roman" w:hAnsi="Times New Roman" w:cs="Times New Roman"/>
        </w:rPr>
        <w:t xml:space="preserve"> précise et pouvait dès lors faire l’objet d’une interprétation aussi bien stricte que large</w:t>
      </w:r>
      <w:r>
        <w:rPr>
          <w:rStyle w:val="Marquenotebasdepage"/>
          <w:rFonts w:ascii="Times New Roman" w:hAnsi="Times New Roman" w:cs="Times New Roman"/>
        </w:rPr>
        <w:footnoteReference w:id="263"/>
      </w:r>
      <w:r w:rsidRPr="00DF3638">
        <w:rPr>
          <w:rFonts w:ascii="Times New Roman" w:hAnsi="Times New Roman" w:cs="Times New Roman"/>
        </w:rPr>
        <w:t>. Par conséquent, il a interprété le terme dans son contexte et à la lumière de l’objet et du but des accords dans lesquels il était men</w:t>
      </w:r>
      <w:r>
        <w:rPr>
          <w:rFonts w:ascii="Times New Roman" w:hAnsi="Times New Roman" w:cs="Times New Roman"/>
        </w:rPr>
        <w:t>tionné</w:t>
      </w:r>
      <w:r>
        <w:rPr>
          <w:rStyle w:val="Marquenotebasdepage"/>
          <w:rFonts w:ascii="Times New Roman" w:hAnsi="Times New Roman" w:cs="Times New Roman"/>
        </w:rPr>
        <w:footnoteReference w:id="264"/>
      </w:r>
      <w:r w:rsidRPr="00DF3638">
        <w:rPr>
          <w:rFonts w:ascii="Times New Roman" w:hAnsi="Times New Roman" w:cs="Times New Roman"/>
        </w:rPr>
        <w:t>.</w:t>
      </w:r>
    </w:p>
    <w:p w14:paraId="0065E9FD" w14:textId="77777777" w:rsidR="000B6F2C" w:rsidRDefault="000B6F2C" w:rsidP="000B6F2C">
      <w:pPr>
        <w:spacing w:line="360" w:lineRule="auto"/>
        <w:jc w:val="both"/>
        <w:rPr>
          <w:rFonts w:ascii="Times New Roman" w:hAnsi="Times New Roman" w:cs="Times New Roman"/>
          <w:lang w:val="nl-NL"/>
        </w:rPr>
      </w:pPr>
    </w:p>
    <w:p w14:paraId="60CE3FD6" w14:textId="215703E8" w:rsidR="000B6F2C" w:rsidRPr="00CD7594" w:rsidRDefault="000B6F2C" w:rsidP="000B6F2C">
      <w:pPr>
        <w:spacing w:line="360" w:lineRule="auto"/>
        <w:jc w:val="both"/>
        <w:rPr>
          <w:rFonts w:ascii="Times New Roman" w:hAnsi="Times New Roman"/>
          <w:u w:val="single"/>
        </w:rPr>
      </w:pPr>
      <w:r>
        <w:rPr>
          <w:rFonts w:ascii="Times New Roman" w:hAnsi="Times New Roman"/>
        </w:rPr>
        <w:t xml:space="preserve">Dans cette affaire, </w:t>
      </w:r>
      <w:r>
        <w:rPr>
          <w:rFonts w:ascii="Times New Roman" w:hAnsi="Times New Roman" w:cs="Times New Roman"/>
        </w:rPr>
        <w:t>l</w:t>
      </w:r>
      <w:r w:rsidRPr="00C214B7">
        <w:rPr>
          <w:rFonts w:ascii="Times New Roman" w:hAnsi="Times New Roman" w:cs="Times New Roman"/>
        </w:rPr>
        <w:t xml:space="preserve">’Organe d’appel a reproché au Groupe spécial d’avoir </w:t>
      </w:r>
      <w:r>
        <w:rPr>
          <w:rFonts w:ascii="Times New Roman" w:hAnsi="Times New Roman" w:cs="Times New Roman"/>
        </w:rPr>
        <w:t>analysé l’article XX en commençant par le chapeau.</w:t>
      </w:r>
      <w:r w:rsidRPr="00C214B7">
        <w:rPr>
          <w:rFonts w:ascii="Times New Roman" w:hAnsi="Times New Roman" w:cs="Times New Roman"/>
        </w:rPr>
        <w:t xml:space="preserve"> </w:t>
      </w:r>
      <w:r>
        <w:rPr>
          <w:rFonts w:ascii="Times New Roman" w:hAnsi="Times New Roman" w:cs="Times New Roman"/>
        </w:rPr>
        <w:t xml:space="preserve">En effet, ce dernier s’était borné à analyser </w:t>
      </w:r>
      <w:r w:rsidRPr="00C214B7">
        <w:rPr>
          <w:rFonts w:ascii="Times New Roman" w:hAnsi="Times New Roman" w:cs="Times New Roman"/>
        </w:rPr>
        <w:t>le litige à la lumièr</w:t>
      </w:r>
      <w:r>
        <w:rPr>
          <w:rFonts w:ascii="Times New Roman" w:hAnsi="Times New Roman" w:cs="Times New Roman"/>
        </w:rPr>
        <w:t xml:space="preserve">e du chapeau de l’article XX et n’avait pas </w:t>
      </w:r>
      <w:r w:rsidRPr="00C214B7">
        <w:rPr>
          <w:rFonts w:ascii="Times New Roman" w:hAnsi="Times New Roman" w:cs="Times New Roman"/>
        </w:rPr>
        <w:t>expressément examiné le sens ordin</w:t>
      </w:r>
      <w:r>
        <w:rPr>
          <w:rFonts w:ascii="Times New Roman" w:hAnsi="Times New Roman" w:cs="Times New Roman"/>
        </w:rPr>
        <w:t>aire des termes de cet article</w:t>
      </w:r>
      <w:r w:rsidR="004C080D">
        <w:rPr>
          <w:rStyle w:val="Marquenotebasdepage"/>
          <w:rFonts w:ascii="Times New Roman" w:hAnsi="Times New Roman" w:cs="Times New Roman"/>
        </w:rPr>
        <w:footnoteReference w:id="265"/>
      </w:r>
      <w:r w:rsidRPr="00C76DD6">
        <w:rPr>
          <w:rFonts w:ascii="Times New Roman" w:hAnsi="Times New Roman" w:cs="Times New Roman"/>
        </w:rPr>
        <w:t>.</w:t>
      </w:r>
      <w:r w:rsidRPr="00C76DD6">
        <w:rPr>
          <w:rFonts w:ascii="Times New Roman" w:hAnsi="Times New Roman"/>
        </w:rPr>
        <w:t xml:space="preserve"> L’Organe d’appel a considéré que les règles édictées par l’article 3§2 du Mémorandum d’accord, à savoir les différentes étapes de l’application des règles coutumières d’interprétation du droit international public, n’avaient pas été suivies</w:t>
      </w:r>
      <w:r w:rsidR="004C080D">
        <w:rPr>
          <w:rStyle w:val="Marquenotebasdepage"/>
          <w:rFonts w:ascii="Times New Roman" w:hAnsi="Times New Roman"/>
        </w:rPr>
        <w:footnoteReference w:id="266"/>
      </w:r>
      <w:r w:rsidRPr="00C76DD6">
        <w:rPr>
          <w:rFonts w:ascii="Times New Roman" w:hAnsi="Times New Roman"/>
        </w:rPr>
        <w:t xml:space="preserve">. Ces règles préconisent </w:t>
      </w:r>
      <w:r w:rsidRPr="00712AFD">
        <w:rPr>
          <w:rFonts w:ascii="Times New Roman" w:hAnsi="Times New Roman"/>
        </w:rPr>
        <w:t>d’examiner le sens ordinaire des termes d’un traité, lu dans son contexte et à la lumière de l’objectif et du but du traité considéré</w:t>
      </w:r>
      <w:r w:rsidRPr="00712AFD">
        <w:rPr>
          <w:rStyle w:val="Marquenotebasdepage"/>
          <w:rFonts w:ascii="Times New Roman" w:hAnsi="Times New Roman"/>
        </w:rPr>
        <w:footnoteReference w:id="267"/>
      </w:r>
      <w:r w:rsidR="009A6B5E" w:rsidRPr="00712AFD">
        <w:rPr>
          <w:rFonts w:ascii="Times New Roman" w:hAnsi="Times New Roman"/>
        </w:rPr>
        <w:t>.</w:t>
      </w:r>
      <w:r w:rsidRPr="00712AFD">
        <w:rPr>
          <w:rFonts w:ascii="Times New Roman" w:hAnsi="Times New Roman"/>
        </w:rPr>
        <w:t xml:space="preserve"> L’Organe</w:t>
      </w:r>
      <w:r w:rsidRPr="0012036B">
        <w:rPr>
          <w:rFonts w:ascii="Times New Roman" w:hAnsi="Times New Roman"/>
        </w:rPr>
        <w:t xml:space="preserve"> d’appel a noté ce qui </w:t>
      </w:r>
      <w:r w:rsidRPr="00CD7594">
        <w:rPr>
          <w:rFonts w:ascii="Times New Roman" w:hAnsi="Times New Roman"/>
        </w:rPr>
        <w:t>suit : </w:t>
      </w:r>
      <w:r w:rsidRPr="00CD7594">
        <w:rPr>
          <w:rFonts w:ascii="Times New Roman" w:hAnsi="Times New Roman"/>
          <w:i/>
        </w:rPr>
        <w:t>« </w:t>
      </w:r>
      <w:r w:rsidRPr="00CD7594">
        <w:rPr>
          <w:rFonts w:ascii="Times New Roman" w:hAnsi="Times New Roman" w:cs="Times New Roman"/>
          <w:i/>
        </w:rPr>
        <w:t xml:space="preserve">Le Groupe spécial a omis d'étudier de près le contexte </w:t>
      </w:r>
      <w:r w:rsidRPr="00CD7594">
        <w:rPr>
          <w:rFonts w:ascii="Times New Roman" w:hAnsi="Times New Roman" w:cs="Times New Roman"/>
          <w:i/>
          <w:iCs/>
        </w:rPr>
        <w:t xml:space="preserve">immédiat </w:t>
      </w:r>
      <w:r w:rsidRPr="00CD7594">
        <w:rPr>
          <w:rFonts w:ascii="Times New Roman" w:hAnsi="Times New Roman" w:cs="Times New Roman"/>
          <w:i/>
        </w:rPr>
        <w:t xml:space="preserve">du texte introductif, à savoir les paragraphes a) à j) de l'article XX. En outre, il n'a pas examiné l'objet et le but du </w:t>
      </w:r>
      <w:r w:rsidRPr="00CD7594">
        <w:rPr>
          <w:rFonts w:ascii="Times New Roman" w:hAnsi="Times New Roman" w:cs="Times New Roman"/>
          <w:i/>
          <w:iCs/>
        </w:rPr>
        <w:t xml:space="preserve">texte introductif de l'article XX. </w:t>
      </w:r>
      <w:r w:rsidRPr="00CD7594">
        <w:rPr>
          <w:rFonts w:ascii="Times New Roman" w:hAnsi="Times New Roman" w:cs="Times New Roman"/>
          <w:i/>
        </w:rPr>
        <w:t xml:space="preserve">Il a plutôt examiné l'objet et le but de </w:t>
      </w:r>
      <w:r w:rsidRPr="00CD7594">
        <w:rPr>
          <w:rFonts w:ascii="Times New Roman" w:hAnsi="Times New Roman" w:cs="Times New Roman"/>
          <w:i/>
          <w:iCs/>
        </w:rPr>
        <w:t xml:space="preserve">l'ensemble du GATT de 1994 et de l'Accord sur l'OMC, </w:t>
      </w:r>
      <w:r w:rsidRPr="00CD7594">
        <w:rPr>
          <w:rFonts w:ascii="Times New Roman" w:hAnsi="Times New Roman" w:cs="Times New Roman"/>
          <w:i/>
        </w:rPr>
        <w:t>dont l'objet et le but sont décrits d'une manière par trop générale »</w:t>
      </w:r>
      <w:r w:rsidR="004C080D" w:rsidRPr="00CD7594">
        <w:rPr>
          <w:rStyle w:val="Marquenotebasdepage"/>
          <w:rFonts w:ascii="Times New Roman" w:hAnsi="Times New Roman" w:cs="Times New Roman"/>
        </w:rPr>
        <w:footnoteReference w:id="268"/>
      </w:r>
      <w:r w:rsidRPr="00CD7594">
        <w:rPr>
          <w:rFonts w:ascii="Times New Roman" w:hAnsi="Times New Roman" w:cs="Times New Roman"/>
        </w:rPr>
        <w:t xml:space="preserve">. </w:t>
      </w:r>
    </w:p>
    <w:p w14:paraId="6373E609" w14:textId="77777777" w:rsidR="000B6F2C" w:rsidRPr="00CD7594" w:rsidRDefault="000B6F2C" w:rsidP="000B6F2C">
      <w:pPr>
        <w:spacing w:line="360" w:lineRule="auto"/>
        <w:jc w:val="both"/>
        <w:rPr>
          <w:rFonts w:ascii="Times New Roman" w:hAnsi="Times New Roman" w:cs="Times New Roman"/>
        </w:rPr>
      </w:pPr>
    </w:p>
    <w:p w14:paraId="1A9D1873" w14:textId="19975C98" w:rsidR="00712AFD" w:rsidRDefault="000B6F2C" w:rsidP="000B6F2C">
      <w:pPr>
        <w:spacing w:line="360" w:lineRule="auto"/>
        <w:jc w:val="both"/>
        <w:rPr>
          <w:rFonts w:ascii="Times New Roman" w:hAnsi="Times New Roman"/>
        </w:rPr>
      </w:pPr>
      <w:r w:rsidRPr="00CD7594">
        <w:rPr>
          <w:rFonts w:ascii="Times New Roman" w:hAnsi="Times New Roman" w:cs="Times New Roman"/>
        </w:rPr>
        <w:t xml:space="preserve">L’Organe d’appel a ensuite souligné que cela l’avait </w:t>
      </w:r>
      <w:r w:rsidRPr="00CD7594">
        <w:rPr>
          <w:rFonts w:ascii="Times New Roman" w:hAnsi="Times New Roman"/>
        </w:rPr>
        <w:t xml:space="preserve">conduit à formuler un </w:t>
      </w:r>
      <w:r w:rsidR="00712AFD" w:rsidRPr="00CD7594">
        <w:rPr>
          <w:rFonts w:ascii="Times New Roman" w:hAnsi="Times New Roman"/>
        </w:rPr>
        <w:t>« </w:t>
      </w:r>
      <w:r w:rsidRPr="00CD7594">
        <w:rPr>
          <w:rFonts w:ascii="Times New Roman" w:hAnsi="Times New Roman"/>
        </w:rPr>
        <w:t>critère indûment large</w:t>
      </w:r>
      <w:r w:rsidR="00712AFD" w:rsidRPr="00CD7594">
        <w:rPr>
          <w:rFonts w:ascii="Times New Roman" w:hAnsi="Times New Roman"/>
        </w:rPr>
        <w:t> »</w:t>
      </w:r>
      <w:r w:rsidRPr="00CD7594">
        <w:rPr>
          <w:rFonts w:ascii="Times New Roman" w:hAnsi="Times New Roman"/>
        </w:rPr>
        <w:t xml:space="preserve"> selon lequel les mesures</w:t>
      </w:r>
      <w:r w:rsidRPr="0012036B">
        <w:rPr>
          <w:rFonts w:ascii="Times New Roman" w:hAnsi="Times New Roman"/>
        </w:rPr>
        <w:t xml:space="preserve"> qui </w:t>
      </w:r>
      <w:r w:rsidRPr="0012036B">
        <w:rPr>
          <w:rFonts w:ascii="Times New Roman" w:hAnsi="Times New Roman"/>
          <w:i/>
        </w:rPr>
        <w:t>« portent atteinte au système commercial multilatéral de l’OMC »</w:t>
      </w:r>
      <w:r w:rsidRPr="0012036B">
        <w:rPr>
          <w:rStyle w:val="Marquenotebasdepage"/>
          <w:rFonts w:ascii="Times New Roman" w:hAnsi="Times New Roman"/>
        </w:rPr>
        <w:footnoteReference w:id="269"/>
      </w:r>
      <w:r w:rsidRPr="0012036B">
        <w:rPr>
          <w:rFonts w:ascii="Times New Roman" w:hAnsi="Times New Roman"/>
          <w:i/>
        </w:rPr>
        <w:t xml:space="preserve"> </w:t>
      </w:r>
      <w:r w:rsidRPr="0012036B">
        <w:rPr>
          <w:rFonts w:ascii="Times New Roman" w:hAnsi="Times New Roman"/>
        </w:rPr>
        <w:t xml:space="preserve">devaient être considérées comme  </w:t>
      </w:r>
      <w:r w:rsidRPr="00C106AB">
        <w:rPr>
          <w:rFonts w:ascii="Times New Roman" w:hAnsi="Times New Roman"/>
          <w:i/>
        </w:rPr>
        <w:t>« ne faisant pas partie des mesures autorisées »</w:t>
      </w:r>
      <w:r>
        <w:rPr>
          <w:rFonts w:ascii="Times New Roman" w:hAnsi="Times New Roman"/>
        </w:rPr>
        <w:t xml:space="preserve"> au titre du chapeau</w:t>
      </w:r>
      <w:r w:rsidRPr="0012036B">
        <w:rPr>
          <w:rFonts w:ascii="Times New Roman" w:hAnsi="Times New Roman"/>
        </w:rPr>
        <w:t xml:space="preserve"> de l’article XX</w:t>
      </w:r>
      <w:r w:rsidR="00712AFD">
        <w:rPr>
          <w:rStyle w:val="Marquenotebasdepage"/>
          <w:rFonts w:ascii="Times New Roman" w:hAnsi="Times New Roman"/>
        </w:rPr>
        <w:footnoteReference w:id="270"/>
      </w:r>
      <w:r w:rsidRPr="0012036B">
        <w:rPr>
          <w:rFonts w:ascii="Times New Roman" w:hAnsi="Times New Roman"/>
        </w:rPr>
        <w:t xml:space="preserve">. Il a également ajouté que la volonté de maintenir le système commercial multilatéral constituait un principe fondamental et constant qui sous-tendait </w:t>
      </w:r>
      <w:r w:rsidRPr="0012036B">
        <w:rPr>
          <w:rFonts w:ascii="Times New Roman" w:hAnsi="Times New Roman"/>
          <w:i/>
        </w:rPr>
        <w:t>l’Accord sur l’OMC</w:t>
      </w:r>
      <w:r w:rsidRPr="0012036B">
        <w:rPr>
          <w:rFonts w:ascii="Times New Roman" w:hAnsi="Times New Roman"/>
        </w:rPr>
        <w:t>. Toutefois, il</w:t>
      </w:r>
      <w:r w:rsidR="004C080D">
        <w:rPr>
          <w:rFonts w:ascii="Times New Roman" w:hAnsi="Times New Roman"/>
        </w:rPr>
        <w:t xml:space="preserve"> a mentionné qu’il</w:t>
      </w:r>
      <w:r w:rsidRPr="0012036B">
        <w:rPr>
          <w:rFonts w:ascii="Times New Roman" w:hAnsi="Times New Roman"/>
        </w:rPr>
        <w:t xml:space="preserve"> ne constituait en rien un droit, une obligation ou encore une règle d’interprétation qui pourrai</w:t>
      </w:r>
      <w:r w:rsidR="00FA5394">
        <w:rPr>
          <w:rFonts w:ascii="Times New Roman" w:hAnsi="Times New Roman"/>
        </w:rPr>
        <w:t>t être utilisé</w:t>
      </w:r>
      <w:r w:rsidRPr="0012036B">
        <w:rPr>
          <w:rFonts w:ascii="Times New Roman" w:hAnsi="Times New Roman"/>
        </w:rPr>
        <w:t xml:space="preserve"> afin d’évaluer une mesure au regard du chapeau de l’article XX »</w:t>
      </w:r>
      <w:r w:rsidRPr="0012036B">
        <w:rPr>
          <w:rStyle w:val="Marquenotebasdepage"/>
          <w:rFonts w:ascii="Times New Roman" w:hAnsi="Times New Roman"/>
        </w:rPr>
        <w:footnoteReference w:id="271"/>
      </w:r>
      <w:r w:rsidRPr="0012036B">
        <w:rPr>
          <w:rFonts w:ascii="Times New Roman" w:hAnsi="Times New Roman"/>
        </w:rPr>
        <w:t xml:space="preserve">. </w:t>
      </w:r>
    </w:p>
    <w:p w14:paraId="3EC12722" w14:textId="77777777" w:rsidR="000B6F2C" w:rsidRDefault="000B6F2C" w:rsidP="000B6F2C">
      <w:pPr>
        <w:spacing w:line="360" w:lineRule="auto"/>
        <w:jc w:val="both"/>
        <w:rPr>
          <w:rFonts w:ascii="Times New Roman" w:hAnsi="Times New Roman" w:cs="Times New Roman"/>
        </w:rPr>
      </w:pPr>
    </w:p>
    <w:p w14:paraId="13072283" w14:textId="248A906A" w:rsidR="000B6F2C" w:rsidRDefault="000B6F2C" w:rsidP="000B6F2C">
      <w:pPr>
        <w:spacing w:line="360" w:lineRule="auto"/>
        <w:jc w:val="both"/>
        <w:rPr>
          <w:rFonts w:ascii="Times New Roman" w:hAnsi="Times New Roman"/>
        </w:rPr>
      </w:pPr>
      <w:r>
        <w:rPr>
          <w:rFonts w:ascii="Times New Roman" w:hAnsi="Times New Roman" w:cs="Times New Roman"/>
        </w:rPr>
        <w:t>L’Organe d’appel a également énoncé que le Groupe spécial avait insisté sur la conception de la mes</w:t>
      </w:r>
      <w:r w:rsidR="00FA5394">
        <w:rPr>
          <w:rFonts w:ascii="Times New Roman" w:hAnsi="Times New Roman" w:cs="Times New Roman"/>
        </w:rPr>
        <w:t>ure alors qu’il aurait plutôt dû</w:t>
      </w:r>
      <w:r>
        <w:rPr>
          <w:rFonts w:ascii="Times New Roman" w:hAnsi="Times New Roman" w:cs="Times New Roman"/>
        </w:rPr>
        <w:t xml:space="preserve"> se concentrer sur la manière dont la mesure était appliqué</w:t>
      </w:r>
      <w:r w:rsidR="00FA5394">
        <w:rPr>
          <w:rFonts w:ascii="Times New Roman" w:hAnsi="Times New Roman" w:cs="Times New Roman"/>
        </w:rPr>
        <w:t>e</w:t>
      </w:r>
      <w:r>
        <w:rPr>
          <w:rStyle w:val="Marquenotebasdepage"/>
          <w:rFonts w:ascii="Times New Roman" w:hAnsi="Times New Roman" w:cs="Times New Roman"/>
        </w:rPr>
        <w:footnoteReference w:id="272"/>
      </w:r>
      <w:r>
        <w:rPr>
          <w:rFonts w:ascii="Times New Roman" w:hAnsi="Times New Roman" w:cs="Times New Roman"/>
        </w:rPr>
        <w:t xml:space="preserve">. </w:t>
      </w:r>
      <w:r w:rsidR="00D41956" w:rsidRPr="00D41956">
        <w:rPr>
          <w:rFonts w:ascii="Times New Roman" w:hAnsi="Times New Roman"/>
        </w:rPr>
        <w:t>A</w:t>
      </w:r>
      <w:r w:rsidRPr="00D41956">
        <w:rPr>
          <w:rFonts w:ascii="Times New Roman" w:hAnsi="Times New Roman"/>
        </w:rPr>
        <w:t>fin de vérifier si une mesure se justifie au titre d’un paragraphe de l’article XX, il convient d’effectuer un examen de la conception générale de cette mesure par rapport à son application</w:t>
      </w:r>
      <w:r w:rsidRPr="00D41956">
        <w:rPr>
          <w:rStyle w:val="Marquenotebasdepage"/>
          <w:rFonts w:ascii="Times New Roman" w:hAnsi="Times New Roman"/>
        </w:rPr>
        <w:footnoteReference w:id="273"/>
      </w:r>
      <w:r w:rsidRPr="00D41956">
        <w:rPr>
          <w:rFonts w:ascii="Times New Roman" w:hAnsi="Times New Roman"/>
        </w:rPr>
        <w:t xml:space="preserve">. </w:t>
      </w:r>
      <w:r w:rsidRPr="00D41956">
        <w:rPr>
          <w:rFonts w:ascii="Times New Roman" w:hAnsi="Times New Roman"/>
          <w:i/>
        </w:rPr>
        <w:t>A contrario</w:t>
      </w:r>
      <w:r w:rsidRPr="00D41956">
        <w:rPr>
          <w:rFonts w:ascii="Times New Roman" w:hAnsi="Times New Roman"/>
        </w:rPr>
        <w:t>, il ne convient pas de procéder de la manière précitée lorsqu’il s’agit d’examiner le chapeau lui-même</w:t>
      </w:r>
      <w:r w:rsidR="00D41956">
        <w:rPr>
          <w:rStyle w:val="Marquenotebasdepage"/>
          <w:rFonts w:ascii="Times New Roman" w:hAnsi="Times New Roman"/>
        </w:rPr>
        <w:footnoteReference w:id="274"/>
      </w:r>
      <w:r w:rsidRPr="00D41956">
        <w:rPr>
          <w:rFonts w:ascii="Times New Roman" w:hAnsi="Times New Roman"/>
        </w:rPr>
        <w:t xml:space="preserve">. Quand il est procédé à l’examen de ce chapeau, c’est la manière dont la mesure est appliquée qui a tant d’intérêt comme mentionné précédemment par l’Organe d’appel dans l’affaire </w:t>
      </w:r>
      <w:r w:rsidRPr="0018135B">
        <w:rPr>
          <w:rFonts w:ascii="Times New Roman" w:hAnsi="Times New Roman"/>
          <w:i/>
        </w:rPr>
        <w:t>Essence</w:t>
      </w:r>
      <w:r w:rsidR="00D41956">
        <w:rPr>
          <w:rStyle w:val="Marquenotebasdepage"/>
          <w:rFonts w:ascii="Times New Roman" w:hAnsi="Times New Roman"/>
        </w:rPr>
        <w:footnoteReference w:id="275"/>
      </w:r>
      <w:r w:rsidRPr="00D41956">
        <w:rPr>
          <w:rFonts w:ascii="Times New Roman" w:hAnsi="Times New Roman"/>
        </w:rPr>
        <w:t xml:space="preserve">. </w:t>
      </w:r>
    </w:p>
    <w:p w14:paraId="13C3C94B" w14:textId="77777777" w:rsidR="000B6F2C" w:rsidRPr="00FB6FEB" w:rsidRDefault="000B6F2C" w:rsidP="000B6F2C">
      <w:pPr>
        <w:spacing w:line="360" w:lineRule="auto"/>
        <w:jc w:val="both"/>
        <w:rPr>
          <w:rFonts w:ascii="Times New Roman" w:hAnsi="Times New Roman" w:cs="Times New Roman"/>
        </w:rPr>
      </w:pPr>
    </w:p>
    <w:p w14:paraId="590E0395" w14:textId="3BD7E6E3" w:rsidR="000B6F2C" w:rsidRDefault="000B6F2C" w:rsidP="000B6F2C">
      <w:pPr>
        <w:widowControl w:val="0"/>
        <w:autoSpaceDE w:val="0"/>
        <w:autoSpaceDN w:val="0"/>
        <w:adjustRightInd w:val="0"/>
        <w:spacing w:after="240" w:line="360" w:lineRule="auto"/>
        <w:jc w:val="both"/>
        <w:rPr>
          <w:rFonts w:ascii="Times New Roman" w:hAnsi="Times New Roman" w:cs="Times New Roman"/>
          <w:u w:val="single"/>
        </w:rPr>
      </w:pPr>
      <w:r>
        <w:rPr>
          <w:rFonts w:ascii="Times" w:hAnsi="Times" w:cs="Times"/>
        </w:rPr>
        <w:t xml:space="preserve">En réalisant sa propre analyse de l’affaire, l’Organe d’appel a tout d’abord constaté que la mesure américaine entrait dans le champ de la disposition justificative de l’article XX </w:t>
      </w:r>
      <w:r w:rsidRPr="007E46BE">
        <w:rPr>
          <w:rFonts w:ascii="Times" w:hAnsi="Times" w:cs="Times"/>
          <w:i/>
        </w:rPr>
        <w:t>g)</w:t>
      </w:r>
      <w:r>
        <w:rPr>
          <w:rStyle w:val="Marquenotebasdepage"/>
          <w:rFonts w:ascii="Times" w:hAnsi="Times" w:cs="Times"/>
        </w:rPr>
        <w:footnoteReference w:id="276"/>
      </w:r>
      <w:r>
        <w:rPr>
          <w:rFonts w:ascii="Times" w:hAnsi="Times" w:cs="Times"/>
        </w:rPr>
        <w:t>. Ensuite, il a examiné si la mesure remplissait les conditions énoncées dans le chapeau et a estimé que plusieurs facteurs cumulatifs dans l’application de l’article 609 constituaient une « discrimination injustifiable »</w:t>
      </w:r>
      <w:r>
        <w:rPr>
          <w:rStyle w:val="Marquenotebasdepage"/>
          <w:rFonts w:ascii="Times" w:hAnsi="Times" w:cs="Times"/>
        </w:rPr>
        <w:footnoteReference w:id="277"/>
      </w:r>
      <w:r>
        <w:rPr>
          <w:rFonts w:ascii="Times" w:hAnsi="Times" w:cs="Times"/>
        </w:rPr>
        <w:t xml:space="preserve">. </w:t>
      </w:r>
      <w:r w:rsidRPr="00597D28">
        <w:rPr>
          <w:rFonts w:ascii="Times" w:hAnsi="Times" w:cs="Times"/>
        </w:rPr>
        <w:t xml:space="preserve">D’après l’Organe d’appel, l’article 609 était un embargo économique qui visait à contraindre les exportateurs à appliquer des </w:t>
      </w:r>
      <w:r w:rsidRPr="00597D28">
        <w:rPr>
          <w:rFonts w:ascii="Times New Roman" w:hAnsi="Times New Roman" w:cs="Times New Roman"/>
        </w:rPr>
        <w:t>politiques semblables à celles adoptées par les crevettiers américains afin d’obtenir la certification</w:t>
      </w:r>
      <w:r w:rsidRPr="00597D28">
        <w:rPr>
          <w:rStyle w:val="Marquenotebasdepage"/>
          <w:rFonts w:ascii="Times New Roman" w:hAnsi="Times New Roman" w:cs="Times New Roman"/>
        </w:rPr>
        <w:footnoteReference w:id="278"/>
      </w:r>
      <w:r w:rsidRPr="00597D28">
        <w:rPr>
          <w:rFonts w:ascii="Times New Roman" w:hAnsi="Times New Roman" w:cs="Times New Roman"/>
        </w:rPr>
        <w:t>.</w:t>
      </w:r>
      <w:r w:rsidRPr="00C106AB">
        <w:rPr>
          <w:rFonts w:ascii="Times New Roman" w:hAnsi="Times New Roman" w:cs="Times New Roman"/>
        </w:rPr>
        <w:t xml:space="preserve"> </w:t>
      </w:r>
    </w:p>
    <w:p w14:paraId="09AC53F5" w14:textId="72D308BF" w:rsidR="000B6F2C" w:rsidRDefault="000B6F2C" w:rsidP="000B6F2C">
      <w:pPr>
        <w:widowControl w:val="0"/>
        <w:autoSpaceDE w:val="0"/>
        <w:autoSpaceDN w:val="0"/>
        <w:adjustRightInd w:val="0"/>
        <w:spacing w:after="240" w:line="360" w:lineRule="auto"/>
        <w:jc w:val="both"/>
        <w:rPr>
          <w:rFonts w:ascii="Times New Roman" w:hAnsi="Times New Roman" w:cs="Times New Roman"/>
        </w:rPr>
      </w:pPr>
      <w:r w:rsidRPr="00AE660B">
        <w:rPr>
          <w:rFonts w:ascii="Times New Roman" w:hAnsi="Times New Roman" w:cs="Times New Roman"/>
        </w:rPr>
        <w:t>D’autres éléments qui se rapportaient à l’application de la mesure ont également apporté la preuve qu’il s’agissait d’une « discrimination injustifiable »</w:t>
      </w:r>
      <w:r w:rsidRPr="00AE660B">
        <w:rPr>
          <w:rStyle w:val="Marquenotebasdepage"/>
          <w:rFonts w:ascii="Times New Roman" w:hAnsi="Times New Roman" w:cs="Times New Roman"/>
        </w:rPr>
        <w:footnoteReference w:id="279"/>
      </w:r>
      <w:r w:rsidRPr="00AE660B">
        <w:rPr>
          <w:rFonts w:ascii="Times New Roman" w:hAnsi="Times New Roman" w:cs="Times New Roman"/>
        </w:rPr>
        <w:t>. En premier lieu, l’Organe d’appel a souligné l’importance de la coopération internationale pour la protection des espèces migratrices comme les tortues marines</w:t>
      </w:r>
      <w:r w:rsidRPr="00AE660B">
        <w:rPr>
          <w:rStyle w:val="Marquenotebasdepage"/>
          <w:rFonts w:ascii="Times New Roman" w:hAnsi="Times New Roman" w:cs="Times New Roman"/>
        </w:rPr>
        <w:footnoteReference w:id="280"/>
      </w:r>
      <w:r w:rsidRPr="00AE660B">
        <w:rPr>
          <w:rFonts w:ascii="Times New Roman" w:hAnsi="Times New Roman" w:cs="Times New Roman"/>
        </w:rPr>
        <w:t>. Il a</w:t>
      </w:r>
      <w:r>
        <w:rPr>
          <w:rFonts w:ascii="Times New Roman" w:hAnsi="Times New Roman" w:cs="Times New Roman"/>
        </w:rPr>
        <w:t xml:space="preserve"> ainsi</w:t>
      </w:r>
      <w:r w:rsidRPr="00AE660B">
        <w:rPr>
          <w:rFonts w:ascii="Times New Roman" w:hAnsi="Times New Roman" w:cs="Times New Roman"/>
        </w:rPr>
        <w:t xml:space="preserve"> reproché aux Etats-Unis de ne pas avoir </w:t>
      </w:r>
      <w:r>
        <w:rPr>
          <w:rFonts w:ascii="Times New Roman" w:hAnsi="Times New Roman" w:cs="Times New Roman"/>
        </w:rPr>
        <w:t>entamé avec les pays plaignants</w:t>
      </w:r>
      <w:r w:rsidRPr="00AE660B">
        <w:rPr>
          <w:rFonts w:ascii="Times New Roman" w:hAnsi="Times New Roman" w:cs="Times New Roman"/>
        </w:rPr>
        <w:t xml:space="preserve"> </w:t>
      </w:r>
      <w:r w:rsidRPr="00AE660B">
        <w:rPr>
          <w:rFonts w:ascii="Times New Roman" w:hAnsi="Times New Roman" w:cs="Times New Roman"/>
          <w:i/>
        </w:rPr>
        <w:t>« des négociations générales sérieuses dans le but de conclure des accords bilatéraux ou multilatéraux pour la protection et la conservation des tortues marines, avant d’appliquer la prohibition à l’importation (…) »</w:t>
      </w:r>
      <w:r w:rsidR="00FA5813">
        <w:rPr>
          <w:rStyle w:val="Marquenotebasdepage"/>
          <w:rFonts w:ascii="Times New Roman" w:hAnsi="Times New Roman" w:cs="Times New Roman"/>
          <w:i/>
        </w:rPr>
        <w:footnoteReference w:id="281"/>
      </w:r>
      <w:r w:rsidRPr="00AE660B">
        <w:rPr>
          <w:rFonts w:ascii="Times New Roman" w:hAnsi="Times New Roman" w:cs="Times New Roman"/>
        </w:rPr>
        <w:t>. Par conséquent, le caractère unilatéral</w:t>
      </w:r>
      <w:r w:rsidR="00D9658F">
        <w:rPr>
          <w:rStyle w:val="Marquenotebasdepage"/>
          <w:rFonts w:ascii="Times New Roman" w:hAnsi="Times New Roman" w:cs="Times New Roman"/>
        </w:rPr>
        <w:footnoteReference w:id="282"/>
      </w:r>
      <w:r w:rsidRPr="00AE660B">
        <w:rPr>
          <w:rFonts w:ascii="Times New Roman" w:hAnsi="Times New Roman" w:cs="Times New Roman"/>
        </w:rPr>
        <w:t xml:space="preserve"> de l’application de l’article 609 </w:t>
      </w:r>
      <w:r w:rsidRPr="00C106AB">
        <w:rPr>
          <w:rFonts w:ascii="Times New Roman" w:hAnsi="Times New Roman" w:cs="Times New Roman"/>
          <w:i/>
        </w:rPr>
        <w:t xml:space="preserve">« aggrave l’effet </w:t>
      </w:r>
      <w:r w:rsidR="00FA5813">
        <w:rPr>
          <w:rFonts w:ascii="Times New Roman" w:hAnsi="Times New Roman" w:cs="Times New Roman"/>
          <w:i/>
        </w:rPr>
        <w:t>perturbateur et discriminatoire</w:t>
      </w:r>
      <w:r w:rsidRPr="00C106AB">
        <w:rPr>
          <w:rFonts w:ascii="Times New Roman" w:hAnsi="Times New Roman" w:cs="Times New Roman"/>
          <w:i/>
        </w:rPr>
        <w:t xml:space="preserve"> de la prohibition à l’importation et met en évidence son caractère injustifiable »</w:t>
      </w:r>
      <w:r w:rsidRPr="00AE660B">
        <w:rPr>
          <w:rStyle w:val="Marquenotebasdepage"/>
          <w:rFonts w:ascii="Times New Roman" w:hAnsi="Times New Roman" w:cs="Times New Roman"/>
        </w:rPr>
        <w:footnoteReference w:id="283"/>
      </w:r>
      <w:r w:rsidRPr="00AE660B">
        <w:rPr>
          <w:rFonts w:ascii="Times New Roman" w:hAnsi="Times New Roman" w:cs="Times New Roman"/>
        </w:rPr>
        <w:t>. En second lieu, le fait que des délais différents aient été octroyés aux pays pour mettre en place de façon progressive le prescrit de l’article 609 constitue aussi une différence de traitement entre les pays qui veulent obtenir la certification</w:t>
      </w:r>
      <w:r w:rsidRPr="00AE660B">
        <w:rPr>
          <w:rStyle w:val="Marquenotebasdepage"/>
          <w:rFonts w:ascii="Times New Roman" w:hAnsi="Times New Roman" w:cs="Times New Roman"/>
        </w:rPr>
        <w:footnoteReference w:id="284"/>
      </w:r>
      <w:r w:rsidRPr="00AE660B">
        <w:rPr>
          <w:rFonts w:ascii="Times New Roman" w:hAnsi="Times New Roman" w:cs="Times New Roman"/>
        </w:rPr>
        <w:t xml:space="preserve">. En troisième lieu, </w:t>
      </w:r>
      <w:r w:rsidRPr="00FA5813">
        <w:rPr>
          <w:rFonts w:ascii="Times New Roman" w:hAnsi="Times New Roman" w:cs="Times New Roman"/>
        </w:rPr>
        <w:t xml:space="preserve">la différence de traitement entre les pays qui veulent obtenir la certification est également manifeste si l'on considère </w:t>
      </w:r>
      <w:r w:rsidR="00FA5813">
        <w:rPr>
          <w:rFonts w:ascii="Times New Roman" w:hAnsi="Times New Roman" w:cs="Times New Roman"/>
        </w:rPr>
        <w:t>« </w:t>
      </w:r>
      <w:r w:rsidRPr="00C106AB">
        <w:rPr>
          <w:rFonts w:ascii="Times New Roman" w:hAnsi="Times New Roman" w:cs="Times New Roman"/>
          <w:i/>
        </w:rPr>
        <w:t>la différence entre les efforts faits par les États-Unis pour transmettre à certains pays la technologie du DET dont ils avaient besoin</w:t>
      </w:r>
      <w:r w:rsidR="00FA5813">
        <w:rPr>
          <w:rFonts w:ascii="Times New Roman" w:hAnsi="Times New Roman" w:cs="Times New Roman"/>
          <w:i/>
        </w:rPr>
        <w:t> »</w:t>
      </w:r>
      <w:r>
        <w:rPr>
          <w:rStyle w:val="Marquenotebasdepage"/>
          <w:rFonts w:ascii="Times New Roman" w:hAnsi="Times New Roman" w:cs="Times New Roman"/>
        </w:rPr>
        <w:footnoteReference w:id="285"/>
      </w:r>
      <w:r w:rsidRPr="00A4637B">
        <w:rPr>
          <w:rFonts w:ascii="Times New Roman" w:hAnsi="Times New Roman" w:cs="Times New Roman"/>
        </w:rPr>
        <w:t>.</w:t>
      </w:r>
    </w:p>
    <w:p w14:paraId="2872FD00" w14:textId="25038A37" w:rsidR="000B6F2C" w:rsidRPr="00597D28" w:rsidRDefault="000B6F2C" w:rsidP="00597D28">
      <w:pPr>
        <w:widowControl w:val="0"/>
        <w:autoSpaceDE w:val="0"/>
        <w:autoSpaceDN w:val="0"/>
        <w:adjustRightInd w:val="0"/>
        <w:spacing w:after="240" w:line="360" w:lineRule="auto"/>
        <w:jc w:val="both"/>
        <w:rPr>
          <w:rFonts w:ascii="Times New Roman" w:hAnsi="Times New Roman" w:cs="Times New Roman"/>
        </w:rPr>
      </w:pPr>
      <w:r>
        <w:rPr>
          <w:rFonts w:ascii="Times New Roman" w:hAnsi="Times New Roman" w:cs="Times New Roman"/>
        </w:rPr>
        <w:t xml:space="preserve">L’Organe d’appel a ensuite </w:t>
      </w:r>
      <w:r w:rsidRPr="00B75CDD">
        <w:rPr>
          <w:rFonts w:ascii="Times New Roman" w:hAnsi="Times New Roman" w:cs="Times New Roman"/>
        </w:rPr>
        <w:t>examiné si la mesure incriminée avait été appliquée de manière à constituer une « discrimination arbitraire entre les pays où les conditions existent</w:t>
      </w:r>
      <w:r>
        <w:rPr>
          <w:rFonts w:ascii="Times New Roman" w:hAnsi="Times New Roman" w:cs="Times New Roman"/>
        </w:rPr>
        <w:t> »</w:t>
      </w:r>
      <w:r w:rsidRPr="00B75CDD">
        <w:rPr>
          <w:rFonts w:ascii="Times New Roman" w:hAnsi="Times New Roman" w:cs="Times New Roman"/>
        </w:rPr>
        <w:t>. Premièrement, la rigidité et l’inflexibilité dans l’application d</w:t>
      </w:r>
      <w:r>
        <w:rPr>
          <w:rFonts w:ascii="Times New Roman" w:hAnsi="Times New Roman" w:cs="Times New Roman"/>
        </w:rPr>
        <w:t>e la mesure semblent également</w:t>
      </w:r>
      <w:r w:rsidRPr="00B75CDD">
        <w:rPr>
          <w:rFonts w:ascii="Times New Roman" w:hAnsi="Times New Roman" w:cs="Times New Roman"/>
        </w:rPr>
        <w:t> constituer une discrimination arbitraire au sens du</w:t>
      </w:r>
      <w:r>
        <w:rPr>
          <w:rFonts w:ascii="Times New Roman" w:hAnsi="Times New Roman" w:cs="Times New Roman"/>
        </w:rPr>
        <w:t xml:space="preserve"> chapeau</w:t>
      </w:r>
      <w:r w:rsidRPr="00B75CDD">
        <w:rPr>
          <w:rStyle w:val="Marquenotebasdepage"/>
          <w:rFonts w:ascii="Times New Roman" w:hAnsi="Times New Roman" w:cs="Times New Roman"/>
        </w:rPr>
        <w:footnoteReference w:id="286"/>
      </w:r>
      <w:r w:rsidRPr="00B75CDD">
        <w:rPr>
          <w:rFonts w:ascii="Times New Roman" w:hAnsi="Times New Roman" w:cs="Times New Roman"/>
        </w:rPr>
        <w:t xml:space="preserve">. Deuxièmement, il a noté que </w:t>
      </w:r>
      <w:r>
        <w:rPr>
          <w:rFonts w:ascii="Times New Roman" w:hAnsi="Times New Roman" w:cs="Times New Roman"/>
        </w:rPr>
        <w:t>d’autres caractéristiques du processus de certification</w:t>
      </w:r>
      <w:r>
        <w:rPr>
          <w:rStyle w:val="Marquenotebasdepage"/>
          <w:rFonts w:ascii="Times New Roman" w:hAnsi="Times New Roman" w:cs="Times New Roman"/>
        </w:rPr>
        <w:footnoteReference w:id="287"/>
      </w:r>
      <w:r w:rsidR="00FA5394">
        <w:rPr>
          <w:rFonts w:ascii="Times New Roman" w:hAnsi="Times New Roman" w:cs="Times New Roman"/>
        </w:rPr>
        <w:t>,</w:t>
      </w:r>
      <w:r>
        <w:rPr>
          <w:rFonts w:ascii="Times New Roman" w:hAnsi="Times New Roman" w:cs="Times New Roman"/>
        </w:rPr>
        <w:t xml:space="preserve"> dont </w:t>
      </w:r>
      <w:r w:rsidRPr="00B75CDD">
        <w:rPr>
          <w:rFonts w:ascii="Times New Roman" w:hAnsi="Times New Roman" w:cs="Times New Roman"/>
        </w:rPr>
        <w:t>le manque de transparence et de prévisibilité, l’absence de possibilité formelle d’être entendu, l’absence de procédure de réexamen du rejet d’une demande ni d’appel de cette décision notamment</w:t>
      </w:r>
      <w:r>
        <w:rPr>
          <w:rFonts w:ascii="Times New Roman" w:hAnsi="Times New Roman" w:cs="Times New Roman"/>
        </w:rPr>
        <w:t xml:space="preserve">  démontrent que </w:t>
      </w:r>
      <w:r w:rsidRPr="00D13AC3">
        <w:rPr>
          <w:rFonts w:ascii="Times New Roman" w:hAnsi="Times New Roman" w:cs="Times New Roman"/>
          <w:i/>
        </w:rPr>
        <w:t>« les Membres exportateurs qui demandent la certification et dont les demandes sont rejetées ne bénéficient pas de l'équité élémentaire ni des garanties d'une procédure régulière et font donc l'objet d'une discrimination par rapport aux Membres qui obtiennent la certification »</w:t>
      </w:r>
      <w:r>
        <w:rPr>
          <w:rStyle w:val="Marquenotebasdepage"/>
          <w:rFonts w:ascii="Times New Roman" w:hAnsi="Times New Roman" w:cs="Times New Roman"/>
        </w:rPr>
        <w:footnoteReference w:id="288"/>
      </w:r>
      <w:r>
        <w:rPr>
          <w:rFonts w:ascii="Times New Roman" w:hAnsi="Times New Roman" w:cs="Times New Roman"/>
        </w:rPr>
        <w:t xml:space="preserve">. L’Organe d’appel note que ceci est bien entendu contraire </w:t>
      </w:r>
      <w:r w:rsidRPr="00D13AC3">
        <w:rPr>
          <w:rFonts w:ascii="Times New Roman" w:hAnsi="Times New Roman" w:cs="Times New Roman"/>
          <w:i/>
        </w:rPr>
        <w:t>« à l'esprit, sinon à la lettre, de l'article X:3 du GATT de 1994 »</w:t>
      </w:r>
      <w:r>
        <w:rPr>
          <w:rStyle w:val="Marquenotebasdepage"/>
          <w:rFonts w:ascii="Times New Roman" w:hAnsi="Times New Roman" w:cs="Times New Roman"/>
        </w:rPr>
        <w:footnoteReference w:id="289"/>
      </w:r>
      <w:r w:rsidRPr="00B75CDD">
        <w:rPr>
          <w:rFonts w:ascii="Times New Roman" w:hAnsi="Times New Roman" w:cs="Times New Roman"/>
        </w:rPr>
        <w:t>.</w:t>
      </w:r>
    </w:p>
    <w:p w14:paraId="5E60A6F7" w14:textId="6446468A" w:rsidR="000B6F2C" w:rsidRDefault="000B6F2C" w:rsidP="000B6F2C">
      <w:pPr>
        <w:spacing w:line="360" w:lineRule="auto"/>
        <w:jc w:val="both"/>
        <w:rPr>
          <w:rFonts w:ascii="Times New Roman" w:hAnsi="Times New Roman"/>
        </w:rPr>
      </w:pPr>
      <w:r>
        <w:rPr>
          <w:rFonts w:ascii="Times New Roman" w:hAnsi="Times New Roman" w:cs="Times New Roman"/>
        </w:rPr>
        <w:t>Par conséquent, l’Organe d’appel a considéré que l’application de la mesure en cause constituait non seulement une « discrimination injustifiable » mais également une « discrimination arbitraire » entre les pays où les mêmes conditions existent, ce qui est contraire aux conditions énoncées dans le chapeau de l’article XX</w:t>
      </w:r>
      <w:r w:rsidR="00FA5813">
        <w:rPr>
          <w:rStyle w:val="Marquenotebasdepage"/>
          <w:rFonts w:ascii="Times New Roman" w:hAnsi="Times New Roman" w:cs="Times New Roman"/>
        </w:rPr>
        <w:footnoteReference w:id="290"/>
      </w:r>
      <w:r>
        <w:rPr>
          <w:rFonts w:ascii="Times New Roman" w:hAnsi="Times New Roman" w:cs="Times New Roman"/>
        </w:rPr>
        <w:t>. La mesure incriminée ne peut dès lors être justifiée au titre de l’article XX du GATT. Suite à cette constatation, l’Organe d’appel a considéré qu’il n’était pas nécessaire d’examiner si l’application de la mesure constituait également une « restriction déguisée au commerce international » au sens du chapeau de l’article XX</w:t>
      </w:r>
      <w:r>
        <w:rPr>
          <w:rStyle w:val="Marquenotebasdepage"/>
          <w:rFonts w:ascii="Times New Roman" w:hAnsi="Times New Roman" w:cs="Times New Roman"/>
        </w:rPr>
        <w:footnoteReference w:id="291"/>
      </w:r>
      <w:r>
        <w:rPr>
          <w:rFonts w:ascii="Times New Roman" w:hAnsi="Times New Roman" w:cs="Times New Roman"/>
        </w:rPr>
        <w:t xml:space="preserve">. </w:t>
      </w:r>
      <w:r w:rsidRPr="00597D28">
        <w:rPr>
          <w:rFonts w:ascii="Times New Roman" w:hAnsi="Times New Roman"/>
        </w:rPr>
        <w:t xml:space="preserve">Ainsi, bien que cette mesure puisse bénéficier des dispositions justificatives de l’article XX </w:t>
      </w:r>
      <w:r w:rsidRPr="00597D28">
        <w:rPr>
          <w:rFonts w:ascii="Times New Roman" w:hAnsi="Times New Roman"/>
          <w:i/>
        </w:rPr>
        <w:t>g)</w:t>
      </w:r>
      <w:r w:rsidRPr="00597D28">
        <w:rPr>
          <w:rFonts w:ascii="Times New Roman" w:hAnsi="Times New Roman"/>
        </w:rPr>
        <w:t>, la mesure américaine ne répond pas aux prescript</w:t>
      </w:r>
      <w:r w:rsidR="00080648">
        <w:rPr>
          <w:rFonts w:ascii="Times New Roman" w:hAnsi="Times New Roman"/>
        </w:rPr>
        <w:t>ions issues du chapeau</w:t>
      </w:r>
      <w:r w:rsidRPr="00597D28">
        <w:rPr>
          <w:rFonts w:ascii="Times New Roman" w:hAnsi="Times New Roman"/>
        </w:rPr>
        <w:t xml:space="preserve"> de l’article XX</w:t>
      </w:r>
      <w:r w:rsidRPr="00597D28">
        <w:rPr>
          <w:rStyle w:val="Marquenotebasdepage"/>
          <w:rFonts w:ascii="Times New Roman" w:hAnsi="Times New Roman"/>
        </w:rPr>
        <w:footnoteReference w:id="292"/>
      </w:r>
      <w:r w:rsidRPr="00597D28">
        <w:rPr>
          <w:rFonts w:ascii="Times New Roman" w:hAnsi="Times New Roman"/>
        </w:rPr>
        <w:t>.</w:t>
      </w:r>
      <w:r>
        <w:rPr>
          <w:rFonts w:ascii="Times New Roman" w:hAnsi="Times New Roman"/>
        </w:rPr>
        <w:t xml:space="preserve"> </w:t>
      </w:r>
    </w:p>
    <w:p w14:paraId="08BD0EE6" w14:textId="77777777" w:rsidR="00807A77" w:rsidRDefault="00807A77" w:rsidP="000B6F2C">
      <w:pPr>
        <w:spacing w:line="360" w:lineRule="auto"/>
        <w:jc w:val="both"/>
        <w:rPr>
          <w:rFonts w:ascii="Times New Roman" w:hAnsi="Times New Roman"/>
        </w:rPr>
      </w:pPr>
    </w:p>
    <w:p w14:paraId="2442754B" w14:textId="33586F9B" w:rsidR="00080648" w:rsidRPr="00080648" w:rsidRDefault="00080648" w:rsidP="00080648">
      <w:pPr>
        <w:spacing w:line="360" w:lineRule="auto"/>
        <w:jc w:val="both"/>
        <w:rPr>
          <w:rFonts w:ascii="Times New Roman" w:hAnsi="Times New Roman"/>
          <w:color w:val="FF0000"/>
        </w:rPr>
      </w:pPr>
      <w:r w:rsidRPr="00807A77">
        <w:rPr>
          <w:rFonts w:ascii="Times New Roman" w:hAnsi="Times New Roman"/>
          <w:color w:val="FF0000"/>
        </w:rPr>
        <w:t xml:space="preserve">Dans l’affaire </w:t>
      </w:r>
      <w:r w:rsidRPr="00AD2594">
        <w:rPr>
          <w:rFonts w:ascii="Times New Roman" w:hAnsi="Times New Roman"/>
          <w:i/>
          <w:color w:val="FF0000"/>
        </w:rPr>
        <w:t>Amiante</w:t>
      </w:r>
      <w:r w:rsidRPr="00807A77">
        <w:rPr>
          <w:rFonts w:ascii="Times New Roman" w:hAnsi="Times New Roman"/>
          <w:color w:val="FF0000"/>
        </w:rPr>
        <w:t xml:space="preserve">, </w:t>
      </w:r>
      <w:r>
        <w:rPr>
          <w:rFonts w:ascii="Times New Roman" w:hAnsi="Times New Roman"/>
          <w:color w:val="FF0000"/>
        </w:rPr>
        <w:t>le Groupe spécial a constaté concernant la notion de « restriction déguisée au commerce international » que « ce qui est effectivement recouvert par ces termes n’a pas été clairement circonscrit »</w:t>
      </w:r>
      <w:r>
        <w:rPr>
          <w:rStyle w:val="Marquenotebasdepage"/>
          <w:rFonts w:ascii="Times New Roman" w:hAnsi="Times New Roman"/>
          <w:color w:val="FF0000"/>
        </w:rPr>
        <w:footnoteReference w:id="293"/>
      </w:r>
      <w:r>
        <w:rPr>
          <w:rFonts w:ascii="Times New Roman" w:hAnsi="Times New Roman"/>
          <w:color w:val="FF0000"/>
        </w:rPr>
        <w:t>. Toutefois, il semble que l’élément objectif de cette notion n’est pas le terme « restriction » « dans la mesure où, par essence toute mesure relevant de l’article XX est une restriction au commerce international » mais plutôt dans l’intention de l’auteur de la mesure. Ainsi, c’est le terme « déguisée » qui tend à donner tout son sens à cette disposition</w:t>
      </w:r>
      <w:r>
        <w:rPr>
          <w:rStyle w:val="Marquenotebasdepage"/>
          <w:rFonts w:ascii="Times New Roman" w:hAnsi="Times New Roman"/>
          <w:color w:val="FF0000"/>
        </w:rPr>
        <w:footnoteReference w:id="294"/>
      </w:r>
      <w:r>
        <w:rPr>
          <w:rFonts w:ascii="Times New Roman" w:hAnsi="Times New Roman"/>
          <w:color w:val="FF0000"/>
        </w:rPr>
        <w:t>. Le Groupe spécial a également mentionné qu’il convient d’interpréter le chapeau conformément à l’article 31 de la Convention de Vienne sur le droit des traités</w:t>
      </w:r>
      <w:r>
        <w:rPr>
          <w:rStyle w:val="Marquenotebasdepage"/>
          <w:rFonts w:ascii="Times New Roman" w:hAnsi="Times New Roman"/>
          <w:color w:val="FF0000"/>
        </w:rPr>
        <w:footnoteReference w:id="295"/>
      </w:r>
      <w:r>
        <w:rPr>
          <w:rFonts w:ascii="Times New Roman" w:hAnsi="Times New Roman"/>
          <w:color w:val="FF0000"/>
        </w:rPr>
        <w:t>. Il a énoncé que le « sens ordinaire du verbe « déguiser » signifie notamment « cacher sous des apparences trompeuses, contrefaire », « modifier pour tromper », « dénaturer », « dissimuler » »</w:t>
      </w:r>
      <w:r>
        <w:rPr>
          <w:rStyle w:val="Marquenotebasdepage"/>
          <w:rFonts w:ascii="Times New Roman" w:hAnsi="Times New Roman"/>
          <w:color w:val="FF0000"/>
        </w:rPr>
        <w:footnoteReference w:id="296"/>
      </w:r>
      <w:r>
        <w:rPr>
          <w:rFonts w:ascii="Times New Roman" w:hAnsi="Times New Roman"/>
          <w:color w:val="FF0000"/>
        </w:rPr>
        <w:t>. Ainsi, il a constaté qu’une mesure restrictive qui, « dans la forme, répond aux exigences de l’article XX b), devient abusive si ce respect n’est en fait qu’un déguisement et que des buts de restrictions aux échanges sont poursuivis sous le couvert de la mesure »</w:t>
      </w:r>
      <w:r>
        <w:rPr>
          <w:rStyle w:val="Marquenotebasdepage"/>
          <w:rFonts w:ascii="Times New Roman" w:hAnsi="Times New Roman"/>
          <w:color w:val="FF0000"/>
        </w:rPr>
        <w:footnoteReference w:id="297"/>
      </w:r>
      <w:r>
        <w:rPr>
          <w:rFonts w:ascii="Times New Roman" w:hAnsi="Times New Roman"/>
          <w:color w:val="FF0000"/>
        </w:rPr>
        <w:t xml:space="preserve">.  </w:t>
      </w:r>
    </w:p>
    <w:p w14:paraId="0D44CC6A" w14:textId="77777777" w:rsidR="00080648" w:rsidRDefault="00080648" w:rsidP="000B6F2C">
      <w:pPr>
        <w:spacing w:line="360" w:lineRule="auto"/>
        <w:jc w:val="both"/>
        <w:rPr>
          <w:rFonts w:ascii="Times New Roman" w:hAnsi="Times New Roman"/>
        </w:rPr>
      </w:pPr>
    </w:p>
    <w:p w14:paraId="2BBBEBCF" w14:textId="77777777" w:rsidR="00442905" w:rsidRPr="00B44D27" w:rsidRDefault="00442905" w:rsidP="00442905">
      <w:pPr>
        <w:spacing w:line="360" w:lineRule="auto"/>
        <w:jc w:val="both"/>
        <w:rPr>
          <w:rFonts w:ascii="Times" w:hAnsi="Times" w:cs="Times"/>
        </w:rPr>
      </w:pPr>
    </w:p>
    <w:p w14:paraId="63139CB3" w14:textId="7953F855" w:rsidR="00001599" w:rsidRPr="00A009A7" w:rsidRDefault="00F3200A" w:rsidP="00825BAD">
      <w:pPr>
        <w:widowControl w:val="0"/>
        <w:autoSpaceDE w:val="0"/>
        <w:autoSpaceDN w:val="0"/>
        <w:adjustRightInd w:val="0"/>
        <w:spacing w:after="240" w:line="276" w:lineRule="auto"/>
        <w:jc w:val="both"/>
        <w:rPr>
          <w:rFonts w:ascii="Times New Roman" w:hAnsi="Times New Roman" w:cs="Times New Roman"/>
          <w:b/>
        </w:rPr>
      </w:pPr>
      <w:r w:rsidRPr="00A84C4C">
        <w:rPr>
          <w:rFonts w:ascii="Times New Roman" w:hAnsi="Times New Roman" w:cs="Times New Roman"/>
          <w:b/>
        </w:rPr>
        <w:t>I</w:t>
      </w:r>
      <w:r w:rsidR="00A009A7">
        <w:rPr>
          <w:rFonts w:ascii="Times New Roman" w:hAnsi="Times New Roman" w:cs="Times New Roman"/>
          <w:b/>
        </w:rPr>
        <w:t xml:space="preserve">V. Paragraphe </w:t>
      </w:r>
      <w:r w:rsidR="00A009A7" w:rsidRPr="00CF4680">
        <w:rPr>
          <w:rFonts w:ascii="Times New Roman" w:hAnsi="Times New Roman" w:cs="Times New Roman"/>
          <w:b/>
          <w:i/>
        </w:rPr>
        <w:t>b)</w:t>
      </w:r>
      <w:r w:rsidR="00A009A7">
        <w:rPr>
          <w:rFonts w:ascii="Times New Roman" w:hAnsi="Times New Roman" w:cs="Times New Roman"/>
          <w:b/>
        </w:rPr>
        <w:t xml:space="preserve"> de l’article XX</w:t>
      </w:r>
    </w:p>
    <w:p w14:paraId="4DFDC2CC" w14:textId="65CA7A06" w:rsidR="00A009A7" w:rsidRPr="00A84C4C" w:rsidRDefault="00DC0837" w:rsidP="00825BAD">
      <w:pPr>
        <w:pStyle w:val="Paragraphedeliste"/>
        <w:numPr>
          <w:ilvl w:val="0"/>
          <w:numId w:val="5"/>
        </w:numPr>
        <w:tabs>
          <w:tab w:val="left" w:pos="7720"/>
        </w:tabs>
        <w:spacing w:line="276" w:lineRule="auto"/>
        <w:jc w:val="both"/>
        <w:rPr>
          <w:rFonts w:ascii="Times New Roman" w:hAnsi="Times New Roman" w:cs="Times New Roman"/>
          <w:b/>
        </w:rPr>
      </w:pPr>
      <w:r>
        <w:rPr>
          <w:rFonts w:ascii="Times New Roman" w:hAnsi="Times New Roman" w:cs="Times New Roman"/>
          <w:b/>
        </w:rPr>
        <w:t>C</w:t>
      </w:r>
      <w:r w:rsidR="00A009A7" w:rsidRPr="00A84C4C">
        <w:rPr>
          <w:rFonts w:ascii="Times New Roman" w:hAnsi="Times New Roman" w:cs="Times New Roman"/>
          <w:b/>
        </w:rPr>
        <w:t>harge de la preuve</w:t>
      </w:r>
    </w:p>
    <w:p w14:paraId="1B26E8F3" w14:textId="22A7CC56" w:rsidR="00A009A7" w:rsidRDefault="0018135B" w:rsidP="00A009A7">
      <w:pPr>
        <w:tabs>
          <w:tab w:val="left" w:pos="7720"/>
        </w:tabs>
        <w:spacing w:line="360" w:lineRule="auto"/>
        <w:jc w:val="both"/>
        <w:rPr>
          <w:rFonts w:ascii="Times New Roman" w:hAnsi="Times New Roman" w:cs="Times New Roman"/>
        </w:rPr>
      </w:pPr>
      <w:r>
        <w:rPr>
          <w:rFonts w:ascii="Times New Roman" w:hAnsi="Times New Roman" w:cs="Times New Roman"/>
        </w:rPr>
        <w:t>C</w:t>
      </w:r>
      <w:r w:rsidR="0083562D">
        <w:rPr>
          <w:rFonts w:ascii="Times New Roman" w:hAnsi="Times New Roman" w:cs="Times New Roman"/>
        </w:rPr>
        <w:t xml:space="preserve">’est dans l’affaire </w:t>
      </w:r>
      <w:r w:rsidR="0083562D" w:rsidRPr="00EB2BC1">
        <w:rPr>
          <w:rFonts w:ascii="Times New Roman" w:hAnsi="Times New Roman" w:cs="Times New Roman"/>
          <w:i/>
        </w:rPr>
        <w:t>Thon II</w:t>
      </w:r>
      <w:r w:rsidR="0083562D">
        <w:rPr>
          <w:rFonts w:ascii="Times New Roman" w:hAnsi="Times New Roman" w:cs="Times New Roman"/>
        </w:rPr>
        <w:t xml:space="preserve"> qu’a pour la première fois été établie de faço</w:t>
      </w:r>
      <w:r w:rsidR="00871449">
        <w:rPr>
          <w:rFonts w:ascii="Times New Roman" w:hAnsi="Times New Roman" w:cs="Times New Roman"/>
        </w:rPr>
        <w:t>n cl</w:t>
      </w:r>
      <w:r w:rsidR="002B327C">
        <w:rPr>
          <w:rFonts w:ascii="Times New Roman" w:hAnsi="Times New Roman" w:cs="Times New Roman"/>
        </w:rPr>
        <w:t xml:space="preserve">aire la manière dont il faut </w:t>
      </w:r>
      <w:r w:rsidR="0083562D">
        <w:rPr>
          <w:rFonts w:ascii="Times New Roman" w:hAnsi="Times New Roman" w:cs="Times New Roman"/>
        </w:rPr>
        <w:t xml:space="preserve">analyser les dispositions de l’article XX </w:t>
      </w:r>
      <w:r w:rsidR="0083562D" w:rsidRPr="00871449">
        <w:rPr>
          <w:rFonts w:ascii="Times New Roman" w:hAnsi="Times New Roman" w:cs="Times New Roman"/>
          <w:i/>
        </w:rPr>
        <w:t>b)</w:t>
      </w:r>
      <w:r w:rsidR="00EB2BC1">
        <w:rPr>
          <w:rStyle w:val="Marquenotebasdepage"/>
          <w:rFonts w:ascii="Times New Roman" w:hAnsi="Times New Roman" w:cs="Times New Roman"/>
        </w:rPr>
        <w:footnoteReference w:id="298"/>
      </w:r>
      <w:r w:rsidR="00972A69">
        <w:rPr>
          <w:rFonts w:ascii="Times New Roman" w:hAnsi="Times New Roman" w:cs="Times New Roman"/>
          <w:i/>
        </w:rPr>
        <w:t>.</w:t>
      </w:r>
      <w:r w:rsidR="00972A69" w:rsidRPr="00CD7594">
        <w:rPr>
          <w:rFonts w:ascii="Times New Roman" w:hAnsi="Times New Roman" w:cs="Times New Roman"/>
        </w:rPr>
        <w:t xml:space="preserve"> </w:t>
      </w:r>
      <w:r w:rsidR="00EB2BC1" w:rsidRPr="00CD7594">
        <w:rPr>
          <w:rFonts w:ascii="Times New Roman" w:hAnsi="Times New Roman" w:cs="Times New Roman"/>
        </w:rPr>
        <w:t>Ainsi, e</w:t>
      </w:r>
      <w:r w:rsidR="00A009A7" w:rsidRPr="00CD7594">
        <w:rPr>
          <w:rFonts w:ascii="Times New Roman" w:hAnsi="Times New Roman" w:cs="Times New Roman"/>
        </w:rPr>
        <w:t xml:space="preserve">n ce qui concerne le paragraphe </w:t>
      </w:r>
      <w:r w:rsidR="00A009A7" w:rsidRPr="00CD7594">
        <w:rPr>
          <w:rFonts w:ascii="Times New Roman" w:hAnsi="Times New Roman" w:cs="Times New Roman"/>
          <w:i/>
        </w:rPr>
        <w:t>b)</w:t>
      </w:r>
      <w:r w:rsidR="00A009A7" w:rsidRPr="00CD7594">
        <w:rPr>
          <w:rFonts w:ascii="Times New Roman" w:hAnsi="Times New Roman" w:cs="Times New Roman"/>
        </w:rPr>
        <w:t>, il ressort de la pratique des groupes spéciaux</w:t>
      </w:r>
      <w:r w:rsidR="00871449" w:rsidRPr="00CD7594">
        <w:rPr>
          <w:rStyle w:val="Marquenotebasdepage"/>
          <w:rFonts w:ascii="Times New Roman" w:hAnsi="Times New Roman" w:cs="Times New Roman"/>
        </w:rPr>
        <w:footnoteReference w:id="299"/>
      </w:r>
      <w:r w:rsidR="00A009A7" w:rsidRPr="00CD7594">
        <w:rPr>
          <w:rFonts w:ascii="Times New Roman" w:hAnsi="Times New Roman" w:cs="Times New Roman"/>
        </w:rPr>
        <w:t xml:space="preserve"> que trois conditions doivent être démontrées</w:t>
      </w:r>
      <w:r>
        <w:rPr>
          <w:rFonts w:ascii="Times New Roman" w:hAnsi="Times New Roman" w:cs="Times New Roman"/>
        </w:rPr>
        <w:t> :</w:t>
      </w:r>
      <w:r w:rsidR="00A009A7">
        <w:rPr>
          <w:rFonts w:ascii="Times New Roman" w:hAnsi="Times New Roman" w:cs="Times New Roman"/>
        </w:rPr>
        <w:t xml:space="preserve"> </w:t>
      </w:r>
    </w:p>
    <w:p w14:paraId="3EC367C7" w14:textId="6861B9D8" w:rsidR="00A009A7" w:rsidRPr="00A17075" w:rsidRDefault="00601E85" w:rsidP="00630DA8">
      <w:pPr>
        <w:pStyle w:val="Paragraphedeliste"/>
        <w:numPr>
          <w:ilvl w:val="0"/>
          <w:numId w:val="6"/>
        </w:numPr>
        <w:tabs>
          <w:tab w:val="left" w:pos="7720"/>
        </w:tabs>
        <w:spacing w:line="276" w:lineRule="auto"/>
        <w:jc w:val="both"/>
        <w:rPr>
          <w:rFonts w:ascii="Times New Roman" w:hAnsi="Times New Roman" w:cs="Times New Roman"/>
        </w:rPr>
      </w:pPr>
      <w:r>
        <w:rPr>
          <w:rFonts w:ascii="Times New Roman" w:hAnsi="Times New Roman" w:cs="Times New Roman"/>
        </w:rPr>
        <w:t>« </w:t>
      </w:r>
      <w:r w:rsidR="00A009A7" w:rsidRPr="00A17075">
        <w:rPr>
          <w:rFonts w:ascii="Times New Roman" w:hAnsi="Times New Roman" w:cs="Times New Roman"/>
        </w:rPr>
        <w:t xml:space="preserve">la </w:t>
      </w:r>
      <w:r w:rsidR="00A009A7" w:rsidRPr="00A17075">
        <w:rPr>
          <w:rFonts w:ascii="Times New Roman" w:hAnsi="Times New Roman" w:cs="Times New Roman"/>
          <w:i/>
        </w:rPr>
        <w:t>politique</w:t>
      </w:r>
      <w:r w:rsidR="00A009A7" w:rsidRPr="00A17075">
        <w:rPr>
          <w:rFonts w:ascii="Times New Roman" w:hAnsi="Times New Roman" w:cs="Times New Roman"/>
        </w:rPr>
        <w:t xml:space="preserve"> dans laquelle s’inscrivaient les mesures pour lesquelles la disposition était invoquée entrait dans la catégorie des politiques destinées à protéger la santé et la vie des personnes et des anim</w:t>
      </w:r>
      <w:r w:rsidR="00A009A7">
        <w:rPr>
          <w:rFonts w:ascii="Times New Roman" w:hAnsi="Times New Roman" w:cs="Times New Roman"/>
        </w:rPr>
        <w:t>aux ou à préserver les végétaux ;</w:t>
      </w:r>
    </w:p>
    <w:p w14:paraId="69710B4B" w14:textId="77777777" w:rsidR="00A009A7" w:rsidRDefault="00A009A7" w:rsidP="00630DA8">
      <w:pPr>
        <w:pStyle w:val="Paragraphedeliste"/>
        <w:numPr>
          <w:ilvl w:val="0"/>
          <w:numId w:val="6"/>
        </w:numPr>
        <w:tabs>
          <w:tab w:val="left" w:pos="7720"/>
        </w:tabs>
        <w:spacing w:line="276" w:lineRule="auto"/>
        <w:jc w:val="both"/>
        <w:rPr>
          <w:rFonts w:ascii="Times New Roman" w:hAnsi="Times New Roman" w:cs="Times New Roman"/>
        </w:rPr>
      </w:pPr>
      <w:r>
        <w:rPr>
          <w:rFonts w:ascii="Times New Roman" w:hAnsi="Times New Roman" w:cs="Times New Roman"/>
        </w:rPr>
        <w:t xml:space="preserve"> les mesures incompatibles pour lesquelles l’exception était invoquée étaient </w:t>
      </w:r>
      <w:r w:rsidRPr="00A17075">
        <w:rPr>
          <w:rFonts w:ascii="Times New Roman" w:hAnsi="Times New Roman" w:cs="Times New Roman"/>
          <w:i/>
        </w:rPr>
        <w:t>nécessaires</w:t>
      </w:r>
      <w:r>
        <w:rPr>
          <w:rFonts w:ascii="Times New Roman" w:hAnsi="Times New Roman" w:cs="Times New Roman"/>
        </w:rPr>
        <w:t xml:space="preserve"> pour atteindre l’objectif de ladite politique ; et </w:t>
      </w:r>
    </w:p>
    <w:p w14:paraId="48E64D44" w14:textId="6B880E06" w:rsidR="0002255B" w:rsidRPr="00B913FE" w:rsidRDefault="00A009A7" w:rsidP="00630DA8">
      <w:pPr>
        <w:pStyle w:val="Paragraphedeliste"/>
        <w:numPr>
          <w:ilvl w:val="0"/>
          <w:numId w:val="6"/>
        </w:numPr>
        <w:tabs>
          <w:tab w:val="left" w:pos="7720"/>
        </w:tabs>
        <w:spacing w:line="276" w:lineRule="auto"/>
        <w:jc w:val="both"/>
        <w:rPr>
          <w:rFonts w:ascii="Times New Roman" w:hAnsi="Times New Roman" w:cs="Times New Roman"/>
        </w:rPr>
      </w:pPr>
      <w:r>
        <w:rPr>
          <w:rFonts w:ascii="Times New Roman" w:hAnsi="Times New Roman" w:cs="Times New Roman"/>
        </w:rPr>
        <w:t xml:space="preserve">les mesures étaient appliquées en conformité avec les prescriptions du </w:t>
      </w:r>
      <w:r>
        <w:rPr>
          <w:rFonts w:ascii="Times New Roman" w:hAnsi="Times New Roman" w:cs="Times New Roman"/>
          <w:i/>
        </w:rPr>
        <w:t>chapeau</w:t>
      </w:r>
      <w:r>
        <w:rPr>
          <w:rFonts w:ascii="Times New Roman" w:hAnsi="Times New Roman" w:cs="Times New Roman"/>
        </w:rPr>
        <w:t xml:space="preserve"> de l’article XX</w:t>
      </w:r>
      <w:r w:rsidR="00601E85">
        <w:rPr>
          <w:rFonts w:ascii="Times New Roman" w:hAnsi="Times New Roman" w:cs="Times New Roman"/>
        </w:rPr>
        <w:t>»</w:t>
      </w:r>
      <w:r w:rsidR="0083562D" w:rsidRPr="0083562D">
        <w:rPr>
          <w:rStyle w:val="Marquenotebasdepage"/>
          <w:rFonts w:ascii="Times New Roman" w:hAnsi="Times New Roman" w:cs="Times New Roman"/>
        </w:rPr>
        <w:t xml:space="preserve"> </w:t>
      </w:r>
      <w:r w:rsidR="0083562D">
        <w:rPr>
          <w:rStyle w:val="Marquenotebasdepage"/>
          <w:rFonts w:ascii="Times New Roman" w:hAnsi="Times New Roman" w:cs="Times New Roman"/>
        </w:rPr>
        <w:footnoteReference w:id="300"/>
      </w:r>
      <w:r w:rsidR="0083562D">
        <w:rPr>
          <w:rFonts w:ascii="Times New Roman" w:hAnsi="Times New Roman" w:cs="Times New Roman"/>
        </w:rPr>
        <w:t>.</w:t>
      </w:r>
    </w:p>
    <w:p w14:paraId="531F2B26" w14:textId="77777777" w:rsidR="00871449" w:rsidRPr="00871449" w:rsidRDefault="00871449" w:rsidP="00871449">
      <w:pPr>
        <w:pStyle w:val="Paragraphedeliste"/>
        <w:tabs>
          <w:tab w:val="left" w:pos="7720"/>
        </w:tabs>
        <w:spacing w:line="360" w:lineRule="auto"/>
        <w:jc w:val="both"/>
        <w:rPr>
          <w:rFonts w:ascii="Times New Roman" w:hAnsi="Times New Roman" w:cs="Times New Roman"/>
        </w:rPr>
      </w:pPr>
    </w:p>
    <w:p w14:paraId="14D3B595" w14:textId="51CE67FC" w:rsidR="00B610E7" w:rsidRPr="00B610E7" w:rsidRDefault="00A009A7" w:rsidP="00B610E7">
      <w:pPr>
        <w:pStyle w:val="Paragraphedeliste"/>
        <w:numPr>
          <w:ilvl w:val="0"/>
          <w:numId w:val="5"/>
        </w:numPr>
        <w:tabs>
          <w:tab w:val="left" w:pos="7720"/>
        </w:tabs>
        <w:spacing w:line="360" w:lineRule="auto"/>
        <w:jc w:val="both"/>
        <w:rPr>
          <w:rFonts w:ascii="Times New Roman" w:hAnsi="Times New Roman" w:cs="Times New Roman"/>
          <w:b/>
        </w:rPr>
      </w:pPr>
      <w:r w:rsidRPr="00DE3D88">
        <w:rPr>
          <w:rFonts w:ascii="Times New Roman" w:hAnsi="Times New Roman" w:cs="Times New Roman"/>
          <w:b/>
        </w:rPr>
        <w:t>L’objectif général de protection de la santé et de la vie des personnes et des animaux ou de préservation des végétaux</w:t>
      </w:r>
    </w:p>
    <w:p w14:paraId="4AB78E6A" w14:textId="6E28018F" w:rsidR="00B610E7" w:rsidRPr="009F2261" w:rsidRDefault="00B610E7" w:rsidP="003F30A7">
      <w:pPr>
        <w:widowControl w:val="0"/>
        <w:autoSpaceDE w:val="0"/>
        <w:autoSpaceDN w:val="0"/>
        <w:adjustRightInd w:val="0"/>
        <w:spacing w:after="240" w:line="360" w:lineRule="auto"/>
        <w:jc w:val="both"/>
        <w:rPr>
          <w:rFonts w:ascii="Times New Roman" w:hAnsi="Times New Roman" w:cs="Times New Roman"/>
        </w:rPr>
      </w:pPr>
      <w:r>
        <w:rPr>
          <w:rFonts w:ascii="Times New Roman" w:hAnsi="Times New Roman" w:cs="Times New Roman"/>
        </w:rPr>
        <w:t>Il faut</w:t>
      </w:r>
      <w:r w:rsidRPr="003F30A7">
        <w:rPr>
          <w:rFonts w:ascii="Times New Roman" w:hAnsi="Times New Roman" w:cs="Times New Roman"/>
        </w:rPr>
        <w:t xml:space="preserve"> mentionner que les Groupes spéciaux et les parties ont admis implicitement</w:t>
      </w:r>
      <w:r>
        <w:rPr>
          <w:rStyle w:val="Marquenotebasdepage"/>
          <w:rFonts w:ascii="Times New Roman" w:hAnsi="Times New Roman" w:cs="Times New Roman"/>
        </w:rPr>
        <w:footnoteReference w:id="301"/>
      </w:r>
      <w:r w:rsidRPr="003F30A7">
        <w:rPr>
          <w:rFonts w:ascii="Times New Roman" w:hAnsi="Times New Roman" w:cs="Times New Roman"/>
        </w:rPr>
        <w:t xml:space="preserve"> dans l’affaire </w:t>
      </w:r>
      <w:r w:rsidRPr="003F30A7">
        <w:rPr>
          <w:rFonts w:ascii="Times New Roman" w:hAnsi="Times New Roman" w:cs="Times New Roman"/>
          <w:i/>
        </w:rPr>
        <w:t>Thon I</w:t>
      </w:r>
      <w:r w:rsidRPr="003F30A7">
        <w:rPr>
          <w:rFonts w:ascii="Times New Roman" w:hAnsi="Times New Roman" w:cs="Times New Roman"/>
        </w:rPr>
        <w:t xml:space="preserve"> et explicitement dans l’affaire </w:t>
      </w:r>
      <w:r w:rsidRPr="003F30A7">
        <w:rPr>
          <w:rFonts w:ascii="Times New Roman" w:hAnsi="Times New Roman" w:cs="Times New Roman"/>
          <w:i/>
        </w:rPr>
        <w:t>Thon II</w:t>
      </w:r>
      <w:r>
        <w:rPr>
          <w:rStyle w:val="Marquenotebasdepage"/>
          <w:rFonts w:ascii="Times New Roman" w:hAnsi="Times New Roman" w:cs="Times New Roman"/>
          <w:i/>
        </w:rPr>
        <w:footnoteReference w:id="302"/>
      </w:r>
      <w:r w:rsidRPr="003F30A7">
        <w:rPr>
          <w:rFonts w:ascii="Times New Roman" w:hAnsi="Times New Roman" w:cs="Times New Roman"/>
        </w:rPr>
        <w:t xml:space="preserve"> que la protection de la vie ou de la </w:t>
      </w:r>
      <w:r w:rsidRPr="00B610E7">
        <w:rPr>
          <w:rFonts w:ascii="Times New Roman" w:hAnsi="Times New Roman" w:cs="Times New Roman"/>
        </w:rPr>
        <w:t xml:space="preserve">santé des dauphins était une politique qui relevait de l’article XX </w:t>
      </w:r>
      <w:r w:rsidRPr="00B610E7">
        <w:rPr>
          <w:rFonts w:ascii="Times New Roman" w:hAnsi="Times New Roman" w:cs="Times New Roman"/>
          <w:i/>
        </w:rPr>
        <w:t>b)</w:t>
      </w:r>
      <w:r w:rsidRPr="00B610E7">
        <w:rPr>
          <w:rStyle w:val="Marquenotebasdepage"/>
          <w:rFonts w:ascii="Times New Roman" w:hAnsi="Times New Roman" w:cs="Times New Roman"/>
        </w:rPr>
        <w:footnoteReference w:id="303"/>
      </w:r>
      <w:r w:rsidRPr="00B610E7">
        <w:rPr>
          <w:rFonts w:ascii="Times New Roman" w:hAnsi="Times New Roman" w:cs="Times New Roman"/>
        </w:rPr>
        <w:t xml:space="preserve">. Dans l’affaire </w:t>
      </w:r>
      <w:r w:rsidRPr="00B610E7">
        <w:rPr>
          <w:rFonts w:ascii="Times New Roman" w:hAnsi="Times New Roman" w:cs="Times New Roman"/>
          <w:i/>
        </w:rPr>
        <w:t>Essence</w:t>
      </w:r>
      <w:r w:rsidRPr="00B610E7">
        <w:rPr>
          <w:rFonts w:ascii="Times New Roman" w:hAnsi="Times New Roman" w:cs="Times New Roman"/>
        </w:rPr>
        <w:t xml:space="preserve">, </w:t>
      </w:r>
      <w:r w:rsidR="00630DA8">
        <w:rPr>
          <w:rFonts w:ascii="Times New Roman" w:hAnsi="Times New Roman" w:cs="Times New Roman"/>
        </w:rPr>
        <w:t xml:space="preserve">ils </w:t>
      </w:r>
      <w:r w:rsidRPr="00B610E7">
        <w:rPr>
          <w:rFonts w:ascii="Times New Roman" w:hAnsi="Times New Roman" w:cs="Times New Roman"/>
        </w:rPr>
        <w:t xml:space="preserve">ont considéré que la mesure ayant pour but de réduire la pollution de l’air résultant de la consommation d’essence fait également partie des mesures concernant la protection de la santé et de la vie des personnes et des animaux ou la préservation des végétaux visées à l’article XX </w:t>
      </w:r>
      <w:r w:rsidRPr="00B610E7">
        <w:rPr>
          <w:rFonts w:ascii="Times New Roman" w:hAnsi="Times New Roman" w:cs="Times New Roman"/>
          <w:i/>
        </w:rPr>
        <w:t>b)</w:t>
      </w:r>
      <w:r w:rsidRPr="00B610E7">
        <w:rPr>
          <w:rStyle w:val="Marquenotebasdepage"/>
          <w:rFonts w:ascii="Times New Roman" w:hAnsi="Times New Roman" w:cs="Times New Roman"/>
        </w:rPr>
        <w:footnoteReference w:id="304"/>
      </w:r>
      <w:r w:rsidRPr="00B610E7">
        <w:rPr>
          <w:rFonts w:ascii="Times New Roman" w:hAnsi="Times New Roman" w:cs="Times New Roman"/>
          <w:i/>
        </w:rPr>
        <w:t>.</w:t>
      </w:r>
      <w:r w:rsidRPr="00B610E7">
        <w:rPr>
          <w:rFonts w:ascii="Times New Roman" w:hAnsi="Times New Roman" w:cs="Times New Roman"/>
        </w:rPr>
        <w:t xml:space="preserve"> </w:t>
      </w:r>
      <w:r w:rsidRPr="009F2261">
        <w:rPr>
          <w:rFonts w:ascii="Times New Roman" w:hAnsi="Times New Roman" w:cs="Times New Roman"/>
        </w:rPr>
        <w:t xml:space="preserve">Il convient de noter que </w:t>
      </w:r>
      <w:r w:rsidR="00687AE4" w:rsidRPr="009F2261">
        <w:rPr>
          <w:rFonts w:ascii="Times New Roman" w:hAnsi="Times New Roman" w:cs="Times New Roman"/>
        </w:rPr>
        <w:t>la seule condition que la politique nationale doit remplir est celle d’appartenir à la catégorie des politiques « concernant » la protection des personnes, des animaux et des végétaux. Aucune précision supplémentaire n’est apportée dans la jurisprudence</w:t>
      </w:r>
      <w:r w:rsidR="00687AE4" w:rsidRPr="009F2261">
        <w:rPr>
          <w:rStyle w:val="Marquenotebasdepage"/>
          <w:rFonts w:ascii="Times New Roman" w:hAnsi="Times New Roman" w:cs="Times New Roman"/>
        </w:rPr>
        <w:footnoteReference w:id="305"/>
      </w:r>
      <w:r w:rsidR="00687AE4" w:rsidRPr="009F2261">
        <w:rPr>
          <w:rFonts w:ascii="Times New Roman" w:hAnsi="Times New Roman" w:cs="Times New Roman"/>
        </w:rPr>
        <w:t>.</w:t>
      </w:r>
    </w:p>
    <w:p w14:paraId="29624D71" w14:textId="2F3E3E68" w:rsidR="003F30A7" w:rsidRDefault="00A8167A" w:rsidP="003F30A7">
      <w:pPr>
        <w:widowControl w:val="0"/>
        <w:autoSpaceDE w:val="0"/>
        <w:autoSpaceDN w:val="0"/>
        <w:adjustRightInd w:val="0"/>
        <w:spacing w:after="240" w:line="360" w:lineRule="auto"/>
        <w:jc w:val="both"/>
        <w:rPr>
          <w:rFonts w:ascii="Times New Roman" w:hAnsi="Times New Roman" w:cs="Times New Roman"/>
        </w:rPr>
      </w:pPr>
      <w:r w:rsidRPr="009F2261">
        <w:rPr>
          <w:rFonts w:ascii="Times New Roman" w:hAnsi="Times New Roman" w:cs="Times New Roman"/>
        </w:rPr>
        <w:t>Cependant un critère plus clair et positif a été dégagé par les Groupes spéciaux quant à l’objectif général de la politique nationale et ce, uniquement à propos de différends strictement sanitaires</w:t>
      </w:r>
      <w:r w:rsidR="00C04370" w:rsidRPr="009F2261">
        <w:rPr>
          <w:rStyle w:val="Marquenotebasdepage"/>
          <w:rFonts w:ascii="Times New Roman" w:hAnsi="Times New Roman" w:cs="Times New Roman"/>
        </w:rPr>
        <w:footnoteReference w:id="306"/>
      </w:r>
      <w:r w:rsidRPr="009F2261">
        <w:rPr>
          <w:rFonts w:ascii="Times New Roman" w:hAnsi="Times New Roman" w:cs="Times New Roman"/>
        </w:rPr>
        <w:t>.</w:t>
      </w:r>
      <w:r w:rsidR="00BC7381" w:rsidRPr="009F2261">
        <w:rPr>
          <w:rFonts w:ascii="Times New Roman" w:hAnsi="Times New Roman" w:cs="Times New Roman"/>
        </w:rPr>
        <w:t xml:space="preserve"> D</w:t>
      </w:r>
      <w:r w:rsidR="003F30A7" w:rsidRPr="009F2261">
        <w:rPr>
          <w:rFonts w:ascii="Times New Roman" w:hAnsi="Times New Roman" w:cs="Times New Roman"/>
        </w:rPr>
        <w:t xml:space="preserve">ans l’affaire </w:t>
      </w:r>
      <w:r w:rsidR="003F30A7" w:rsidRPr="009F2261">
        <w:rPr>
          <w:rFonts w:ascii="Times New Roman" w:hAnsi="Times New Roman" w:cs="Times New Roman"/>
          <w:i/>
        </w:rPr>
        <w:t>Cigarettes</w:t>
      </w:r>
      <w:r w:rsidR="003F30A7" w:rsidRPr="009F2261">
        <w:rPr>
          <w:rStyle w:val="Marquenotebasdepage"/>
          <w:rFonts w:ascii="Times New Roman" w:hAnsi="Times New Roman" w:cs="Times New Roman"/>
        </w:rPr>
        <w:footnoteReference w:id="307"/>
      </w:r>
      <w:r w:rsidR="003F30A7" w:rsidRPr="009F2261">
        <w:rPr>
          <w:rFonts w:ascii="Times New Roman" w:hAnsi="Times New Roman"/>
        </w:rPr>
        <w:t xml:space="preserve">, les restrictions à l’importation étaient justifiées au regard de l’article XX </w:t>
      </w:r>
      <w:r w:rsidR="003F30A7" w:rsidRPr="009F2261">
        <w:rPr>
          <w:rFonts w:ascii="Times New Roman" w:hAnsi="Times New Roman"/>
          <w:i/>
        </w:rPr>
        <w:t>b)</w:t>
      </w:r>
      <w:r w:rsidR="003F30A7" w:rsidRPr="009F2261">
        <w:rPr>
          <w:rFonts w:ascii="Times New Roman" w:hAnsi="Times New Roman"/>
        </w:rPr>
        <w:t xml:space="preserve"> étant donné que le gouvernement avait procédé à l’adoption de mesures qui produisaient leur effet à condition d’une part, que les importations de cigarettes soient interdites</w:t>
      </w:r>
      <w:r w:rsidR="00F00297" w:rsidRPr="009F2261">
        <w:rPr>
          <w:rStyle w:val="Marquenotebasdepage"/>
          <w:rFonts w:ascii="Times New Roman" w:hAnsi="Times New Roman"/>
        </w:rPr>
        <w:footnoteReference w:id="308"/>
      </w:r>
      <w:r w:rsidR="003F30A7" w:rsidRPr="009F2261">
        <w:rPr>
          <w:rFonts w:ascii="Times New Roman" w:hAnsi="Times New Roman"/>
        </w:rPr>
        <w:t xml:space="preserve"> et d’autre part, que les additifs contenus dans les cigarettes fabriquées aux Etats-Unis présentai</w:t>
      </w:r>
      <w:r w:rsidR="00D93103" w:rsidRPr="009F2261">
        <w:rPr>
          <w:rFonts w:ascii="Times New Roman" w:hAnsi="Times New Roman"/>
        </w:rPr>
        <w:t>en</w:t>
      </w:r>
      <w:r w:rsidR="003F30A7" w:rsidRPr="009F2261">
        <w:rPr>
          <w:rFonts w:ascii="Times New Roman" w:hAnsi="Times New Roman"/>
        </w:rPr>
        <w:t>t le risque de les rendre plus nocives que les cigarettes thaïlandaises</w:t>
      </w:r>
      <w:r w:rsidR="003F30A7" w:rsidRPr="009F2261">
        <w:rPr>
          <w:rStyle w:val="Marquenotebasdepage"/>
          <w:rFonts w:ascii="Times New Roman" w:hAnsi="Times New Roman"/>
        </w:rPr>
        <w:footnoteReference w:id="309"/>
      </w:r>
      <w:r w:rsidR="003F30A7" w:rsidRPr="009F2261">
        <w:rPr>
          <w:rFonts w:ascii="Times New Roman" w:hAnsi="Times New Roman"/>
        </w:rPr>
        <w:t>.</w:t>
      </w:r>
      <w:r w:rsidR="00BC7381" w:rsidRPr="009F2261">
        <w:rPr>
          <w:rFonts w:ascii="Times New Roman" w:hAnsi="Times New Roman"/>
        </w:rPr>
        <w:t xml:space="preserve"> </w:t>
      </w:r>
      <w:r w:rsidR="003F30A7" w:rsidRPr="009F2261">
        <w:rPr>
          <w:rFonts w:ascii="Times New Roman" w:hAnsi="Times New Roman"/>
        </w:rPr>
        <w:t>Un expert de l’Organisation mon</w:t>
      </w:r>
      <w:r w:rsidR="00E11F81" w:rsidRPr="009F2261">
        <w:rPr>
          <w:rFonts w:ascii="Times New Roman" w:hAnsi="Times New Roman"/>
        </w:rPr>
        <w:t xml:space="preserve">diale de la santé avait </w:t>
      </w:r>
      <w:r w:rsidR="003F30A7" w:rsidRPr="009F2261">
        <w:rPr>
          <w:rFonts w:ascii="Times New Roman" w:hAnsi="Times New Roman"/>
        </w:rPr>
        <w:t>été entendu par le Groupe spécial</w:t>
      </w:r>
      <w:r w:rsidR="00F00297" w:rsidRPr="009F2261">
        <w:rPr>
          <w:rStyle w:val="Marquenotebasdepage"/>
          <w:rFonts w:ascii="Times New Roman" w:hAnsi="Times New Roman"/>
        </w:rPr>
        <w:footnoteReference w:id="310"/>
      </w:r>
      <w:r w:rsidR="003F30A7" w:rsidRPr="009F2261">
        <w:rPr>
          <w:rFonts w:ascii="Times New Roman" w:hAnsi="Times New Roman"/>
        </w:rPr>
        <w:t xml:space="preserve">. En accord avec cet expert de l’OMS et les parties au différend, le Groupe spécial a noté, concernant le champ d’application du paragraphe </w:t>
      </w:r>
      <w:r w:rsidR="003F30A7" w:rsidRPr="009F2261">
        <w:rPr>
          <w:rFonts w:ascii="Times New Roman" w:hAnsi="Times New Roman"/>
          <w:i/>
        </w:rPr>
        <w:t>b)</w:t>
      </w:r>
      <w:r w:rsidR="003F30A7" w:rsidRPr="009F2261">
        <w:rPr>
          <w:rFonts w:ascii="Times New Roman" w:hAnsi="Times New Roman"/>
        </w:rPr>
        <w:t xml:space="preserve"> que les </w:t>
      </w:r>
      <w:r w:rsidR="003F30A7" w:rsidRPr="009F2261">
        <w:rPr>
          <w:rFonts w:ascii="Times New Roman" w:hAnsi="Times New Roman" w:cs="Times New Roman"/>
        </w:rPr>
        <w:t xml:space="preserve">mesures ayant pour objet de réduire la consommation de cigarettes entraient dans le champ d’application de l’article XX </w:t>
      </w:r>
      <w:r w:rsidR="003F30A7" w:rsidRPr="009F2261">
        <w:rPr>
          <w:rFonts w:ascii="Times New Roman" w:hAnsi="Times New Roman" w:cs="Times New Roman"/>
          <w:i/>
        </w:rPr>
        <w:t>b)</w:t>
      </w:r>
      <w:r w:rsidR="003F30A7" w:rsidRPr="009F2261">
        <w:rPr>
          <w:rFonts w:ascii="Times New Roman" w:hAnsi="Times New Roman" w:cs="Times New Roman"/>
        </w:rPr>
        <w:t xml:space="preserve"> étant donné que l’usage du tabac constituait véritablement un risque sérieux pour la santé des personnes</w:t>
      </w:r>
      <w:r w:rsidR="003F30A7" w:rsidRPr="009F2261">
        <w:rPr>
          <w:rStyle w:val="Marquenotebasdepage"/>
          <w:rFonts w:ascii="Times New Roman" w:hAnsi="Times New Roman" w:cs="Times New Roman"/>
        </w:rPr>
        <w:footnoteReference w:id="311"/>
      </w:r>
      <w:r w:rsidR="003F30A7" w:rsidRPr="009F2261">
        <w:rPr>
          <w:rFonts w:ascii="Times New Roman" w:hAnsi="Times New Roman" w:cs="Times New Roman"/>
        </w:rPr>
        <w:t xml:space="preserve">. De plus, il a souligné que l’article XX </w:t>
      </w:r>
      <w:r w:rsidR="003F30A7" w:rsidRPr="009F2261">
        <w:rPr>
          <w:rFonts w:ascii="Times New Roman" w:hAnsi="Times New Roman" w:cs="Times New Roman"/>
          <w:i/>
        </w:rPr>
        <w:t>b)</w:t>
      </w:r>
      <w:r w:rsidR="003F30A7" w:rsidRPr="009F2261">
        <w:rPr>
          <w:rFonts w:ascii="Times New Roman" w:hAnsi="Times New Roman" w:cs="Times New Roman"/>
        </w:rPr>
        <w:t xml:space="preserve"> autorisait les parties à</w:t>
      </w:r>
      <w:r w:rsidR="003F30A7" w:rsidRPr="00BC7381">
        <w:rPr>
          <w:rFonts w:ascii="Times New Roman" w:hAnsi="Times New Roman" w:cs="Times New Roman"/>
        </w:rPr>
        <w:t xml:space="preserve"> privilégier la santé des personnes sur la libéralisation du commerce pour autant que la mesure soit « nécessaire » à la protection de la santé des personnes et puisse ainsi entrer dans le champ des dispositions justificatives de l’article XX </w:t>
      </w:r>
      <w:r w:rsidR="003F30A7" w:rsidRPr="00BC7381">
        <w:rPr>
          <w:rFonts w:ascii="Times New Roman" w:hAnsi="Times New Roman" w:cs="Times New Roman"/>
          <w:i/>
        </w:rPr>
        <w:t>b)</w:t>
      </w:r>
      <w:r w:rsidR="003F30A7" w:rsidRPr="00BC7381">
        <w:rPr>
          <w:rStyle w:val="Marquenotebasdepage"/>
          <w:rFonts w:ascii="Times New Roman" w:hAnsi="Times New Roman" w:cs="Times New Roman"/>
          <w:i/>
        </w:rPr>
        <w:t xml:space="preserve"> </w:t>
      </w:r>
      <w:r w:rsidR="003F30A7" w:rsidRPr="00BC7381">
        <w:rPr>
          <w:rStyle w:val="Marquenotebasdepage"/>
          <w:rFonts w:ascii="Times New Roman" w:hAnsi="Times New Roman" w:cs="Times New Roman"/>
        </w:rPr>
        <w:footnoteReference w:id="312"/>
      </w:r>
      <w:r w:rsidR="003F30A7" w:rsidRPr="00BC7381">
        <w:rPr>
          <w:rFonts w:ascii="Times New Roman" w:hAnsi="Times New Roman" w:cs="Times New Roman"/>
        </w:rPr>
        <w:t>.</w:t>
      </w:r>
    </w:p>
    <w:p w14:paraId="236F1C8A" w14:textId="77777777" w:rsidR="00C14253" w:rsidRPr="00C14253" w:rsidRDefault="00C14253" w:rsidP="00C14253">
      <w:pPr>
        <w:widowControl w:val="0"/>
        <w:autoSpaceDE w:val="0"/>
        <w:autoSpaceDN w:val="0"/>
        <w:adjustRightInd w:val="0"/>
        <w:spacing w:after="240" w:line="360" w:lineRule="auto"/>
        <w:jc w:val="both"/>
        <w:rPr>
          <w:rFonts w:ascii="Times New Roman" w:hAnsi="Times New Roman" w:cs="Times New Roman"/>
        </w:rPr>
      </w:pPr>
      <w:r w:rsidRPr="00C14253">
        <w:rPr>
          <w:rFonts w:ascii="Times New Roman" w:hAnsi="Times New Roman" w:cs="Times New Roman"/>
        </w:rPr>
        <w:t xml:space="preserve">Dans l’affaire </w:t>
      </w:r>
      <w:r w:rsidRPr="00C14253">
        <w:rPr>
          <w:rFonts w:ascii="Times New Roman" w:hAnsi="Times New Roman" w:cs="Times New Roman"/>
          <w:i/>
        </w:rPr>
        <w:t>Amiante</w:t>
      </w:r>
      <w:r w:rsidRPr="00C14253">
        <w:rPr>
          <w:rStyle w:val="Marquenotebasdepage"/>
          <w:rFonts w:ascii="Times New Roman" w:hAnsi="Times New Roman" w:cs="Times New Roman"/>
        </w:rPr>
        <w:footnoteReference w:id="313"/>
      </w:r>
      <w:r w:rsidRPr="00C14253">
        <w:rPr>
          <w:rFonts w:ascii="Times New Roman" w:hAnsi="Times New Roman" w:cs="Times New Roman"/>
        </w:rPr>
        <w:t xml:space="preserve">, le Groupe spécial a examiné la question de savoir si l’utilisation de produits en chrysotile-ciment constituait un risque pour la santé des personnes et a relevé que tout Etat qui se prévaut de l’exception de l’article XX </w:t>
      </w:r>
      <w:r w:rsidRPr="00C14253">
        <w:rPr>
          <w:rFonts w:ascii="Times New Roman" w:hAnsi="Times New Roman" w:cs="Times New Roman"/>
          <w:i/>
        </w:rPr>
        <w:t xml:space="preserve">b) </w:t>
      </w:r>
      <w:r w:rsidRPr="00C14253">
        <w:rPr>
          <w:rFonts w:ascii="Times New Roman" w:hAnsi="Times New Roman" w:cs="Times New Roman"/>
        </w:rPr>
        <w:t>doit prouver l’existence d’un risque pour la santé</w:t>
      </w:r>
      <w:r w:rsidRPr="00C14253">
        <w:rPr>
          <w:rStyle w:val="Marquenotebasdepage"/>
          <w:rFonts w:ascii="Times New Roman" w:hAnsi="Times New Roman" w:cs="Times New Roman"/>
        </w:rPr>
        <w:footnoteReference w:id="314"/>
      </w:r>
      <w:r w:rsidRPr="00C14253">
        <w:rPr>
          <w:rFonts w:ascii="Times New Roman" w:hAnsi="Times New Roman" w:cs="Times New Roman"/>
        </w:rPr>
        <w:t xml:space="preserve">. Il a conclu que </w:t>
      </w:r>
      <w:r w:rsidRPr="00C14253">
        <w:rPr>
          <w:rFonts w:ascii="Times New Roman" w:hAnsi="Times New Roman" w:cs="Times New Roman"/>
          <w:i/>
        </w:rPr>
        <w:t xml:space="preserve">« les CE ont apporté un commencement de preuve suffisant qu’un </w:t>
      </w:r>
      <w:r w:rsidRPr="00C14253">
        <w:rPr>
          <w:rFonts w:ascii="Times New Roman" w:hAnsi="Times New Roman" w:cs="Times New Roman"/>
          <w:b/>
          <w:i/>
        </w:rPr>
        <w:t xml:space="preserve">risque </w:t>
      </w:r>
      <w:r w:rsidRPr="00C14253">
        <w:rPr>
          <w:rFonts w:ascii="Times New Roman" w:hAnsi="Times New Roman" w:cs="Times New Roman"/>
          <w:i/>
        </w:rPr>
        <w:t>pour la santé existe en rapport avec l’utilisation du chrysotile (…). Le Groupe spécial considère donc que les CE ont démontré que la politique d’interdiction de l’amiante chrysotilemise en œuvre par le Décret rentrait dans la catégorie des politiques destinées à protéger la santé et la vie des personnes »</w:t>
      </w:r>
      <w:r w:rsidRPr="00C14253">
        <w:rPr>
          <w:rStyle w:val="Marquenotebasdepage"/>
          <w:rFonts w:ascii="Times New Roman" w:hAnsi="Times New Roman" w:cs="Times New Roman"/>
        </w:rPr>
        <w:footnoteReference w:id="315"/>
      </w:r>
      <w:r w:rsidRPr="00C14253">
        <w:rPr>
          <w:rFonts w:ascii="Times New Roman" w:hAnsi="Times New Roman" w:cs="Times New Roman"/>
        </w:rPr>
        <w:t>. L’Organe d’appel a confirmé les constatations réalisées par le Groupe spécial en ce sens que la mesure en cause tend à protéger la santé et la vie des personnes</w:t>
      </w:r>
      <w:r w:rsidRPr="00C14253">
        <w:rPr>
          <w:rStyle w:val="Marquenotebasdepage"/>
          <w:rFonts w:ascii="Times New Roman" w:hAnsi="Times New Roman" w:cs="Times New Roman"/>
        </w:rPr>
        <w:footnoteReference w:id="316"/>
      </w:r>
      <w:r w:rsidRPr="00C14253">
        <w:rPr>
          <w:rFonts w:ascii="Times New Roman" w:hAnsi="Times New Roman" w:cs="Times New Roman"/>
        </w:rPr>
        <w:t xml:space="preserve"> mais a toutefois modifié son raisonnement sur certains points.</w:t>
      </w:r>
    </w:p>
    <w:p w14:paraId="78A6A62F" w14:textId="77777777" w:rsidR="00C14253" w:rsidRPr="00C14253" w:rsidRDefault="00C14253" w:rsidP="00C14253">
      <w:pPr>
        <w:spacing w:line="360" w:lineRule="auto"/>
        <w:jc w:val="both"/>
        <w:rPr>
          <w:rFonts w:ascii="Times New Roman" w:hAnsi="Times New Roman" w:cs="Times New Roman"/>
        </w:rPr>
      </w:pPr>
      <w:r w:rsidRPr="00C14253">
        <w:rPr>
          <w:rFonts w:ascii="Times New Roman" w:hAnsi="Times New Roman" w:cs="Times New Roman"/>
        </w:rPr>
        <w:t>L’Organe d’appel a examiné si l’utilisation contrôlée de l’amiante pouvait constituer une mesure de substitution et a rappelé que les Etats ont le libre choix du niveau de protection en matière de santé. L’Organe d’appel a noté que </w:t>
      </w:r>
      <w:r w:rsidRPr="00C14253">
        <w:rPr>
          <w:rFonts w:ascii="Times New Roman" w:hAnsi="Times New Roman" w:cs="Times New Roman"/>
          <w:i/>
        </w:rPr>
        <w:t>«  les Membres de l’OMC ont le droit de fixer le niveau de protection de la santé qu’ils jugent approprié dans une situation donnée. La France a décidé, et le Groupe spécial a admis, que le niveau de protection de la santé choisi par la France ‘arrêtait’ la propagation des risques pour la santé liés à l’amiante. La mesure en cause qui interdit toutes formes d’amiante amphibole, et qui limite strictement l’utilisation du chrysotile, est manifestement conçue pour atteindre ce niveau de protection de la santé et adaptée à cette fin »</w:t>
      </w:r>
      <w:r w:rsidRPr="00C14253">
        <w:rPr>
          <w:rStyle w:val="Marquenotebasdepage"/>
          <w:rFonts w:ascii="Times New Roman" w:hAnsi="Times New Roman" w:cs="Times New Roman"/>
        </w:rPr>
        <w:footnoteReference w:id="317"/>
      </w:r>
      <w:r w:rsidRPr="00C14253">
        <w:rPr>
          <w:rFonts w:ascii="Times New Roman" w:hAnsi="Times New Roman" w:cs="Times New Roman"/>
        </w:rPr>
        <w:t>. Il convient de souligner que même si les fibres de substitution entraînaient un risque pour la santé, il ressort des preuves scientifiques que ce risque est moins grand que le risque généré par les fibres d’amiante chrysotile</w:t>
      </w:r>
      <w:r w:rsidRPr="00C14253">
        <w:rPr>
          <w:rStyle w:val="Marquenotebasdepage"/>
          <w:rFonts w:ascii="Times New Roman" w:hAnsi="Times New Roman" w:cs="Times New Roman"/>
        </w:rPr>
        <w:footnoteReference w:id="318"/>
      </w:r>
      <w:r w:rsidRPr="00C14253">
        <w:rPr>
          <w:rFonts w:ascii="Times New Roman" w:hAnsi="Times New Roman" w:cs="Times New Roman"/>
        </w:rPr>
        <w:t xml:space="preserve">. Dès lors , </w:t>
      </w:r>
      <w:r w:rsidRPr="00C14253">
        <w:rPr>
          <w:rFonts w:ascii="Times New Roman" w:hAnsi="Times New Roman" w:cs="Times New Roman"/>
          <w:i/>
        </w:rPr>
        <w:t>« il semble parfaitement légitime qu’un Membre cherche à arrêter la propagation d’un produit à haut risque tout en permettant d’utiliser à sa place un produit présentant un risque moindre »</w:t>
      </w:r>
      <w:r w:rsidRPr="00C14253">
        <w:rPr>
          <w:rStyle w:val="Marquenotebasdepage"/>
          <w:rFonts w:ascii="Times New Roman" w:hAnsi="Times New Roman" w:cs="Times New Roman"/>
        </w:rPr>
        <w:footnoteReference w:id="319"/>
      </w:r>
      <w:r w:rsidRPr="00C14253">
        <w:rPr>
          <w:rFonts w:ascii="Times New Roman" w:hAnsi="Times New Roman" w:cs="Times New Roman"/>
        </w:rPr>
        <w:t>. Les preuves scientifiques indiquent que le niveau d’exposition peut rester suffisamment élevé pour qu’ </w:t>
      </w:r>
      <w:r w:rsidRPr="00C14253">
        <w:rPr>
          <w:rFonts w:ascii="Times New Roman" w:hAnsi="Times New Roman" w:cs="Times New Roman"/>
          <w:i/>
        </w:rPr>
        <w:t>« un risque significatif de développement de maladies liées à l’amiante demeure »</w:t>
      </w:r>
      <w:r w:rsidRPr="00C14253">
        <w:rPr>
          <w:rStyle w:val="Marquenotebasdepage"/>
          <w:rFonts w:ascii="Times New Roman" w:hAnsi="Times New Roman" w:cs="Times New Roman"/>
        </w:rPr>
        <w:footnoteReference w:id="320"/>
      </w:r>
      <w:r w:rsidRPr="00C14253">
        <w:rPr>
          <w:rFonts w:ascii="Times New Roman" w:hAnsi="Times New Roman" w:cs="Times New Roman"/>
        </w:rPr>
        <w:t>. Ainsi, « ‘l’utilisation contrôlée’ ne permettrait pas à la France d’atteindre le niveau voulu de protection de la santé en arrêtant la propagation des risques pour la santé liés à l’amiante »</w:t>
      </w:r>
      <w:r w:rsidRPr="00C14253">
        <w:rPr>
          <w:rStyle w:val="Marquenotebasdepage"/>
          <w:rFonts w:ascii="Times New Roman" w:hAnsi="Times New Roman" w:cs="Times New Roman"/>
        </w:rPr>
        <w:footnoteReference w:id="321"/>
      </w:r>
      <w:r w:rsidRPr="00C14253">
        <w:rPr>
          <w:rFonts w:ascii="Times New Roman" w:hAnsi="Times New Roman" w:cs="Times New Roman"/>
        </w:rPr>
        <w:t xml:space="preserve">. </w:t>
      </w:r>
    </w:p>
    <w:p w14:paraId="2C4240ED" w14:textId="77777777" w:rsidR="00C14253" w:rsidRPr="00C14253" w:rsidRDefault="00C14253" w:rsidP="00C14253">
      <w:pPr>
        <w:spacing w:line="360" w:lineRule="auto"/>
        <w:jc w:val="both"/>
        <w:rPr>
          <w:rFonts w:ascii="Times New Roman" w:hAnsi="Times New Roman" w:cs="Times New Roman"/>
        </w:rPr>
      </w:pPr>
    </w:p>
    <w:p w14:paraId="62BE4C79" w14:textId="14B37784" w:rsidR="00080648" w:rsidRPr="00C14253" w:rsidRDefault="00C14253" w:rsidP="003F30A7">
      <w:pPr>
        <w:widowControl w:val="0"/>
        <w:autoSpaceDE w:val="0"/>
        <w:autoSpaceDN w:val="0"/>
        <w:adjustRightInd w:val="0"/>
        <w:spacing w:after="240" w:line="360" w:lineRule="auto"/>
        <w:jc w:val="both"/>
        <w:rPr>
          <w:rFonts w:ascii="Times New Roman" w:hAnsi="Times New Roman" w:cs="Times New Roman"/>
        </w:rPr>
      </w:pPr>
      <w:r w:rsidRPr="00C14253">
        <w:rPr>
          <w:rFonts w:ascii="Times New Roman" w:hAnsi="Times New Roman" w:cs="Times New Roman"/>
        </w:rPr>
        <w:t xml:space="preserve">Ainsi, dans les affaires </w:t>
      </w:r>
      <w:r w:rsidRPr="00C14253">
        <w:rPr>
          <w:rFonts w:ascii="Times New Roman" w:hAnsi="Times New Roman" w:cs="Times New Roman"/>
          <w:i/>
        </w:rPr>
        <w:t>Cigarettes</w:t>
      </w:r>
      <w:r w:rsidRPr="00C14253">
        <w:rPr>
          <w:rFonts w:ascii="Times New Roman" w:hAnsi="Times New Roman" w:cs="Times New Roman"/>
        </w:rPr>
        <w:t xml:space="preserve"> et </w:t>
      </w:r>
      <w:r w:rsidRPr="00C14253">
        <w:rPr>
          <w:rFonts w:ascii="Times New Roman" w:hAnsi="Times New Roman" w:cs="Times New Roman"/>
          <w:i/>
        </w:rPr>
        <w:t>Amiante</w:t>
      </w:r>
      <w:r w:rsidRPr="00C14253">
        <w:rPr>
          <w:rFonts w:ascii="Times New Roman" w:hAnsi="Times New Roman" w:cs="Times New Roman"/>
        </w:rPr>
        <w:t xml:space="preserve">, les Groupes spéciaux ont établi distinctement que la preuve d’un risque pour la vie ou la santé des personnes, des animaux ou des végétaux suffit à conclure que la politique qui lutte contre ce risque entre dans la catégorie des politiques visées à l’article XX </w:t>
      </w:r>
      <w:r w:rsidRPr="00C14253">
        <w:rPr>
          <w:rFonts w:ascii="Times New Roman" w:hAnsi="Times New Roman" w:cs="Times New Roman"/>
          <w:i/>
        </w:rPr>
        <w:t>b)</w:t>
      </w:r>
      <w:r w:rsidRPr="00C14253">
        <w:rPr>
          <w:rStyle w:val="Marquenotebasdepage"/>
          <w:rFonts w:ascii="Times New Roman" w:hAnsi="Times New Roman" w:cs="Times New Roman"/>
          <w:i/>
        </w:rPr>
        <w:footnoteReference w:id="322"/>
      </w:r>
      <w:r w:rsidRPr="00C14253">
        <w:rPr>
          <w:rFonts w:ascii="Times New Roman" w:hAnsi="Times New Roman" w:cs="Times New Roman"/>
        </w:rPr>
        <w:t>. Bien qu’il y ait des difficultés à établir cette preuve, ce critère permet de simplifier la tâche de la partie à qui incombe de prouver que la politique est destinée à la protection de la santé et de la vie des personnes et des animaux ou à la préservation des végétaux</w:t>
      </w:r>
      <w:r w:rsidRPr="00C14253">
        <w:rPr>
          <w:rStyle w:val="Marquenotebasdepage"/>
          <w:rFonts w:ascii="Times New Roman" w:hAnsi="Times New Roman" w:cs="Times New Roman"/>
        </w:rPr>
        <w:footnoteReference w:id="323"/>
      </w:r>
      <w:r w:rsidRPr="00C14253">
        <w:rPr>
          <w:rFonts w:ascii="Times New Roman" w:hAnsi="Times New Roman" w:cs="Times New Roman"/>
        </w:rPr>
        <w:t>.</w:t>
      </w:r>
    </w:p>
    <w:p w14:paraId="4AD1EA1B" w14:textId="77777777" w:rsidR="00CF3282" w:rsidRPr="00CA37D9" w:rsidRDefault="00CF3282" w:rsidP="00CF3282">
      <w:pPr>
        <w:pStyle w:val="Paragraphedeliste"/>
        <w:numPr>
          <w:ilvl w:val="0"/>
          <w:numId w:val="8"/>
        </w:numPr>
        <w:tabs>
          <w:tab w:val="left" w:pos="7720"/>
        </w:tabs>
        <w:spacing w:line="360" w:lineRule="auto"/>
        <w:jc w:val="both"/>
        <w:rPr>
          <w:rFonts w:ascii="Times New Roman" w:hAnsi="Times New Roman" w:cs="Times New Roman"/>
          <w:b/>
        </w:rPr>
      </w:pPr>
      <w:r w:rsidRPr="00CA37D9">
        <w:rPr>
          <w:rFonts w:ascii="Times New Roman" w:hAnsi="Times New Roman" w:cs="Times New Roman"/>
          <w:b/>
        </w:rPr>
        <w:t xml:space="preserve">Mesure devant être justifiée au regard de l’article XX </w:t>
      </w:r>
      <w:r w:rsidRPr="00CF4680">
        <w:rPr>
          <w:rFonts w:ascii="Times New Roman" w:hAnsi="Times New Roman" w:cs="Times New Roman"/>
          <w:b/>
          <w:i/>
        </w:rPr>
        <w:t>b)</w:t>
      </w:r>
    </w:p>
    <w:p w14:paraId="720EF4C2" w14:textId="36CE27B8" w:rsidR="00CF3282" w:rsidRPr="009455A6" w:rsidRDefault="00CF3282" w:rsidP="00CF3282">
      <w:pPr>
        <w:widowControl w:val="0"/>
        <w:autoSpaceDE w:val="0"/>
        <w:autoSpaceDN w:val="0"/>
        <w:adjustRightInd w:val="0"/>
        <w:spacing w:after="240" w:line="360" w:lineRule="auto"/>
        <w:jc w:val="both"/>
        <w:rPr>
          <w:rFonts w:ascii="Times New Roman" w:hAnsi="Times New Roman" w:cs="Times New Roman"/>
        </w:rPr>
      </w:pPr>
      <w:r>
        <w:rPr>
          <w:rFonts w:ascii="Times New Roman" w:hAnsi="Times New Roman" w:cs="Times New Roman"/>
        </w:rPr>
        <w:t>D’après l</w:t>
      </w:r>
      <w:r w:rsidR="00DD6862">
        <w:rPr>
          <w:rFonts w:ascii="Times New Roman" w:hAnsi="Times New Roman" w:cs="Times New Roman"/>
        </w:rPr>
        <w:t>a pratique des Groupes spéciaux</w:t>
      </w:r>
      <w:r>
        <w:rPr>
          <w:rFonts w:ascii="Times New Roman" w:hAnsi="Times New Roman" w:cs="Times New Roman"/>
        </w:rPr>
        <w:t xml:space="preserve">, la mesure qui doit être justifiée au titre de l’article XX </w:t>
      </w:r>
      <w:r w:rsidRPr="00C878F2">
        <w:rPr>
          <w:rFonts w:ascii="Times New Roman" w:hAnsi="Times New Roman" w:cs="Times New Roman"/>
          <w:i/>
        </w:rPr>
        <w:t>b)</w:t>
      </w:r>
      <w:r>
        <w:rPr>
          <w:rFonts w:ascii="Times New Roman" w:hAnsi="Times New Roman" w:cs="Times New Roman"/>
        </w:rPr>
        <w:t xml:space="preserve"> n’est pas l’objectif général mais bien la mesure que le Groupe spécial a préalablement jugée incompatible avec l’Accord général</w:t>
      </w:r>
      <w:r>
        <w:rPr>
          <w:rStyle w:val="Marquenotebasdepage"/>
          <w:rFonts w:ascii="Times New Roman" w:hAnsi="Times New Roman" w:cs="Times New Roman"/>
        </w:rPr>
        <w:footnoteReference w:id="324"/>
      </w:r>
      <w:r>
        <w:rPr>
          <w:rFonts w:ascii="Times New Roman" w:hAnsi="Times New Roman" w:cs="Times New Roman"/>
        </w:rPr>
        <w:t xml:space="preserve">. Ainsi, dans l’affaire </w:t>
      </w:r>
      <w:r w:rsidRPr="00402857">
        <w:rPr>
          <w:rFonts w:ascii="Times New Roman" w:hAnsi="Times New Roman" w:cs="Times New Roman"/>
          <w:i/>
        </w:rPr>
        <w:t>Thon I</w:t>
      </w:r>
      <w:r>
        <w:rPr>
          <w:rFonts w:ascii="Times New Roman" w:hAnsi="Times New Roman" w:cs="Times New Roman"/>
        </w:rPr>
        <w:t xml:space="preserve">, le Groupe spécial a considéré que </w:t>
      </w:r>
      <w:r w:rsidRPr="0058238B">
        <w:rPr>
          <w:rFonts w:ascii="Times New Roman" w:hAnsi="Times New Roman" w:cs="Times New Roman"/>
          <w:i/>
        </w:rPr>
        <w:t xml:space="preserve">« les conditions énoncées à l’article XX b), </w:t>
      </w:r>
      <w:r>
        <w:rPr>
          <w:rFonts w:ascii="Times New Roman" w:hAnsi="Times New Roman" w:cs="Times New Roman"/>
          <w:i/>
        </w:rPr>
        <w:t xml:space="preserve">(…) </w:t>
      </w:r>
      <w:r w:rsidRPr="0058238B">
        <w:rPr>
          <w:rFonts w:ascii="Times New Roman" w:hAnsi="Times New Roman" w:cs="Times New Roman"/>
          <w:i/>
        </w:rPr>
        <w:t>ont trait à la mesure commerciale qui doit être justifiée au regard de l'article XX b), et non pas à la norme concernant la vie ou la santé choisie par la partie contractante</w:t>
      </w:r>
      <w:r>
        <w:rPr>
          <w:rFonts w:ascii="Times New Roman" w:hAnsi="Times New Roman" w:cs="Times New Roman"/>
          <w:i/>
        </w:rPr>
        <w:t> »</w:t>
      </w:r>
      <w:r>
        <w:rPr>
          <w:rStyle w:val="Marquenotebasdepage"/>
          <w:rFonts w:ascii="Times New Roman" w:hAnsi="Times New Roman" w:cs="Times New Roman"/>
        </w:rPr>
        <w:footnoteReference w:id="325"/>
      </w:r>
      <w:r>
        <w:rPr>
          <w:rFonts w:ascii="Times New Roman" w:hAnsi="Times New Roman" w:cs="Times New Roman"/>
        </w:rPr>
        <w:t xml:space="preserve">. </w:t>
      </w:r>
    </w:p>
    <w:p w14:paraId="42D0A658" w14:textId="5C8238B7" w:rsidR="00CF3282" w:rsidRPr="0018135B" w:rsidRDefault="00CF3282" w:rsidP="00CF3282">
      <w:pPr>
        <w:widowControl w:val="0"/>
        <w:autoSpaceDE w:val="0"/>
        <w:autoSpaceDN w:val="0"/>
        <w:adjustRightInd w:val="0"/>
        <w:spacing w:after="240" w:line="360" w:lineRule="auto"/>
        <w:jc w:val="both"/>
        <w:rPr>
          <w:rFonts w:ascii="Times New Roman" w:hAnsi="Times New Roman" w:cs="Times New Roman"/>
        </w:rPr>
      </w:pPr>
      <w:r w:rsidRPr="00943825">
        <w:rPr>
          <w:rFonts w:ascii="Times New Roman" w:hAnsi="Times New Roman" w:cs="Times New Roman"/>
        </w:rPr>
        <w:t xml:space="preserve">Dans l’affaire </w:t>
      </w:r>
      <w:r w:rsidRPr="00943825">
        <w:rPr>
          <w:rFonts w:ascii="Times New Roman" w:hAnsi="Times New Roman" w:cs="Times New Roman"/>
          <w:i/>
        </w:rPr>
        <w:t>Essence</w:t>
      </w:r>
      <w:r w:rsidRPr="00943825">
        <w:rPr>
          <w:rFonts w:ascii="Times New Roman" w:hAnsi="Times New Roman" w:cs="Times New Roman"/>
        </w:rPr>
        <w:t xml:space="preserve">, après avoir constaté que l'essence importée était soumise à un traitement moins favorable que l'essence nationale, le Groupe spécial s'est posé la question de savoir si l'aspect de </w:t>
      </w:r>
      <w:r w:rsidR="001611EB">
        <w:rPr>
          <w:rFonts w:ascii="Times New Roman" w:hAnsi="Times New Roman" w:cs="Times New Roman"/>
        </w:rPr>
        <w:t xml:space="preserve">la Réglementation sur l'essence </w:t>
      </w:r>
      <w:r w:rsidRPr="001611EB">
        <w:rPr>
          <w:rFonts w:ascii="Times New Roman" w:hAnsi="Times New Roman" w:cs="Times New Roman"/>
        </w:rPr>
        <w:t>considéré comme inc</w:t>
      </w:r>
      <w:r w:rsidR="001611EB" w:rsidRPr="001611EB">
        <w:rPr>
          <w:rFonts w:ascii="Times New Roman" w:hAnsi="Times New Roman" w:cs="Times New Roman"/>
        </w:rPr>
        <w:t xml:space="preserve">ompatible avec l'Accord général </w:t>
      </w:r>
      <w:r w:rsidRPr="001611EB">
        <w:rPr>
          <w:rFonts w:ascii="Times New Roman" w:hAnsi="Times New Roman" w:cs="Times New Roman"/>
        </w:rPr>
        <w:t>était nécessaire afin d’atteindre les objectifs</w:t>
      </w:r>
      <w:r w:rsidRPr="00943825">
        <w:rPr>
          <w:rFonts w:ascii="Times New Roman" w:hAnsi="Times New Roman" w:cs="Times New Roman"/>
        </w:rPr>
        <w:t xml:space="preserve"> généraux énoncés à l'article XX </w:t>
      </w:r>
      <w:r w:rsidRPr="00943825">
        <w:rPr>
          <w:rFonts w:ascii="Times New Roman" w:hAnsi="Times New Roman" w:cs="Times New Roman"/>
          <w:i/>
        </w:rPr>
        <w:t>b)</w:t>
      </w:r>
      <w:r w:rsidRPr="00943825">
        <w:rPr>
          <w:rStyle w:val="Marquenotebasdepage"/>
          <w:rFonts w:ascii="Times New Roman" w:hAnsi="Times New Roman" w:cs="Times New Roman"/>
          <w:i/>
        </w:rPr>
        <w:footnoteReference w:id="326"/>
      </w:r>
      <w:r w:rsidRPr="00943825">
        <w:rPr>
          <w:rFonts w:ascii="Times New Roman" w:hAnsi="Times New Roman" w:cs="Times New Roman"/>
        </w:rPr>
        <w:t xml:space="preserve">. </w:t>
      </w:r>
      <w:r>
        <w:rPr>
          <w:rFonts w:ascii="Times New Roman" w:hAnsi="Times New Roman" w:cs="Times New Roman"/>
        </w:rPr>
        <w:t xml:space="preserve"> Dans son rapport, le Groupe spécial </w:t>
      </w:r>
      <w:r w:rsidRPr="0058238B">
        <w:rPr>
          <w:rFonts w:ascii="Times New Roman" w:hAnsi="Times New Roman" w:cs="Times New Roman"/>
        </w:rPr>
        <w:t>a souligné</w:t>
      </w:r>
      <w:r>
        <w:rPr>
          <w:rFonts w:ascii="Times New Roman" w:hAnsi="Times New Roman" w:cs="Times New Roman"/>
        </w:rPr>
        <w:t xml:space="preserve"> que l’examen devait porter non pas sur la nécessité de l’objectif général mais bien sur la question de savoir s’il était </w:t>
      </w:r>
      <w:r w:rsidRPr="00402857">
        <w:rPr>
          <w:rFonts w:ascii="Times New Roman" w:hAnsi="Times New Roman" w:cs="Times New Roman"/>
          <w:i/>
        </w:rPr>
        <w:t>« nécessaire d’empêcher effectivement l’essence importée de bénéficier de conditions de vente aussi favorables que celles qu’offrait un niveau de base individuel lié au producteur d’un produit »</w:t>
      </w:r>
      <w:r>
        <w:rPr>
          <w:rStyle w:val="Marquenotebasdepage"/>
          <w:rFonts w:ascii="Times New Roman" w:hAnsi="Times New Roman" w:cs="Times New Roman"/>
          <w:i/>
        </w:rPr>
        <w:footnoteReference w:id="327"/>
      </w:r>
      <w:r>
        <w:rPr>
          <w:rFonts w:ascii="Times New Roman" w:hAnsi="Times New Roman" w:cs="Times New Roman"/>
        </w:rPr>
        <w:t xml:space="preserve">. Le Groupe spécial devait ainsi déterminer si ces mesures jugées incompatibles étaient considérées comme nécessaires afin d’atteindre l’objectif énoncé à l’article </w:t>
      </w:r>
      <w:r w:rsidRPr="001E50A3">
        <w:rPr>
          <w:rFonts w:ascii="Times New Roman" w:hAnsi="Times New Roman" w:cs="Times New Roman"/>
          <w:i/>
        </w:rPr>
        <w:t>b)</w:t>
      </w:r>
      <w:r>
        <w:rPr>
          <w:rStyle w:val="Marquenotebasdepage"/>
          <w:rFonts w:ascii="Times New Roman" w:hAnsi="Times New Roman" w:cs="Times New Roman"/>
          <w:i/>
        </w:rPr>
        <w:footnoteReference w:id="328"/>
      </w:r>
      <w:r>
        <w:rPr>
          <w:rFonts w:ascii="Times New Roman" w:hAnsi="Times New Roman" w:cs="Times New Roman"/>
        </w:rPr>
        <w:t xml:space="preserve">. </w:t>
      </w:r>
      <w:r w:rsidRPr="0018135B">
        <w:rPr>
          <w:rFonts w:ascii="Times New Roman" w:hAnsi="Times New Roman" w:cs="Times New Roman"/>
        </w:rPr>
        <w:t xml:space="preserve">Il convient de souligner que la tâche du Groupe spécial ne consistait dès lors pas à examiner la </w:t>
      </w:r>
      <w:r w:rsidRPr="0018135B">
        <w:rPr>
          <w:rFonts w:ascii="Times New Roman" w:hAnsi="Times New Roman" w:cs="Times New Roman"/>
          <w:i/>
        </w:rPr>
        <w:t>« nécessité des objectifs environnementaux de la Réglementation sur l'essence, ni des parties de la Réglementation que le Groupe spécial ne jugeait pas expressément incompatibles avec l'Accord général »</w:t>
      </w:r>
      <w:r w:rsidRPr="0018135B">
        <w:rPr>
          <w:rStyle w:val="Marquenotebasdepage"/>
          <w:rFonts w:ascii="Times New Roman" w:hAnsi="Times New Roman" w:cs="Times New Roman"/>
        </w:rPr>
        <w:footnoteReference w:id="329"/>
      </w:r>
      <w:r w:rsidR="0018135B">
        <w:rPr>
          <w:rFonts w:ascii="Times New Roman" w:hAnsi="Times New Roman" w:cs="Times New Roman"/>
          <w:i/>
        </w:rPr>
        <w:t>.</w:t>
      </w:r>
      <w:r w:rsidRPr="0018135B">
        <w:rPr>
          <w:rFonts w:ascii="Times New Roman" w:hAnsi="Times New Roman" w:cs="Times New Roman"/>
        </w:rPr>
        <w:t xml:space="preserve">   </w:t>
      </w:r>
    </w:p>
    <w:p w14:paraId="598A5F26" w14:textId="2C247837" w:rsidR="00CF3282" w:rsidRDefault="008E515D" w:rsidP="00CF3282">
      <w:pPr>
        <w:pStyle w:val="Paragraphedeliste"/>
        <w:numPr>
          <w:ilvl w:val="0"/>
          <w:numId w:val="8"/>
        </w:numPr>
        <w:tabs>
          <w:tab w:val="left" w:pos="7720"/>
        </w:tabs>
        <w:spacing w:line="360" w:lineRule="auto"/>
        <w:jc w:val="both"/>
        <w:rPr>
          <w:rFonts w:ascii="Times New Roman" w:hAnsi="Times New Roman" w:cs="Times New Roman"/>
          <w:b/>
        </w:rPr>
      </w:pPr>
      <w:r>
        <w:rPr>
          <w:rFonts w:ascii="Times New Roman" w:hAnsi="Times New Roman" w:cs="Times New Roman"/>
          <w:b/>
        </w:rPr>
        <w:t xml:space="preserve">Concept de la nécessité </w:t>
      </w:r>
    </w:p>
    <w:p w14:paraId="5B2F7EDF" w14:textId="4C33CBC5" w:rsidR="00B95196" w:rsidRPr="00825BAD" w:rsidRDefault="00DD6862" w:rsidP="00825BAD">
      <w:pPr>
        <w:spacing w:line="360" w:lineRule="auto"/>
        <w:jc w:val="both"/>
        <w:rPr>
          <w:rFonts w:ascii="Times New Roman" w:hAnsi="Times New Roman"/>
          <w:highlight w:val="lightGray"/>
        </w:rPr>
      </w:pPr>
      <w:r w:rsidRPr="0018135B">
        <w:rPr>
          <w:rFonts w:ascii="Times New Roman" w:hAnsi="Times New Roman"/>
        </w:rPr>
        <w:t>L</w:t>
      </w:r>
      <w:r w:rsidR="00825BAD" w:rsidRPr="0018135B">
        <w:rPr>
          <w:rFonts w:ascii="Times New Roman" w:hAnsi="Times New Roman"/>
        </w:rPr>
        <w:t xml:space="preserve">’affaire </w:t>
      </w:r>
      <w:r w:rsidR="00825BAD" w:rsidRPr="0018135B">
        <w:rPr>
          <w:rFonts w:ascii="Times New Roman" w:hAnsi="Times New Roman" w:cs="Times New Roman"/>
          <w:i/>
        </w:rPr>
        <w:t>Cigarettes</w:t>
      </w:r>
      <w:r w:rsidR="00CF3282" w:rsidRPr="0018135B">
        <w:rPr>
          <w:rFonts w:ascii="Times New Roman" w:hAnsi="Times New Roman"/>
        </w:rPr>
        <w:t xml:space="preserve"> est la première </w:t>
      </w:r>
      <w:r w:rsidRPr="0018135B">
        <w:rPr>
          <w:rFonts w:ascii="Times New Roman" w:hAnsi="Times New Roman"/>
        </w:rPr>
        <w:t>dans laquelle le « critère de</w:t>
      </w:r>
      <w:r w:rsidR="00CF3282" w:rsidRPr="0018135B">
        <w:rPr>
          <w:rFonts w:ascii="Times New Roman" w:hAnsi="Times New Roman"/>
        </w:rPr>
        <w:t xml:space="preserve"> nécessité » a été effectivement appliqué</w:t>
      </w:r>
      <w:r w:rsidR="00CF3282" w:rsidRPr="0018135B">
        <w:rPr>
          <w:rStyle w:val="Marquenotebasdepage"/>
          <w:rFonts w:ascii="Times New Roman" w:hAnsi="Times New Roman"/>
        </w:rPr>
        <w:footnoteReference w:id="330"/>
      </w:r>
      <w:r w:rsidR="00825BAD" w:rsidRPr="0018135B">
        <w:rPr>
          <w:rFonts w:ascii="Times New Roman" w:hAnsi="Times New Roman"/>
        </w:rPr>
        <w:t xml:space="preserve">. </w:t>
      </w:r>
      <w:r w:rsidR="00CF3282" w:rsidRPr="0018135B">
        <w:rPr>
          <w:rFonts w:ascii="Times New Roman" w:hAnsi="Times New Roman" w:cs="Times New Roman"/>
        </w:rPr>
        <w:t>Avant</w:t>
      </w:r>
      <w:r w:rsidR="00CF3282" w:rsidRPr="00D557F2">
        <w:rPr>
          <w:rFonts w:ascii="Times New Roman" w:hAnsi="Times New Roman" w:cs="Times New Roman"/>
        </w:rPr>
        <w:t xml:space="preserve"> d’examiner</w:t>
      </w:r>
      <w:r>
        <w:rPr>
          <w:rFonts w:ascii="Times New Roman" w:hAnsi="Times New Roman" w:cs="Times New Roman"/>
        </w:rPr>
        <w:t xml:space="preserve"> cette</w:t>
      </w:r>
      <w:r w:rsidR="00B662C0">
        <w:rPr>
          <w:rFonts w:ascii="Times New Roman" w:hAnsi="Times New Roman" w:cs="Times New Roman"/>
        </w:rPr>
        <w:t xml:space="preserve"> dernière</w:t>
      </w:r>
      <w:r w:rsidR="00CF3282" w:rsidRPr="00D557F2">
        <w:rPr>
          <w:rFonts w:ascii="Times New Roman" w:hAnsi="Times New Roman" w:cs="Times New Roman"/>
        </w:rPr>
        <w:t xml:space="preserve">, il convient </w:t>
      </w:r>
      <w:r w:rsidR="00CF3282" w:rsidRPr="00D557F2">
        <w:rPr>
          <w:rFonts w:ascii="Times New Roman" w:hAnsi="Times New Roman"/>
        </w:rPr>
        <w:t xml:space="preserve">de souligner que le terme « nécessaire » a fait l’objet d’une interprétation dans l’arrêt </w:t>
      </w:r>
      <w:r w:rsidR="00CF3282" w:rsidRPr="00D557F2">
        <w:rPr>
          <w:rFonts w:ascii="Times New Roman" w:hAnsi="Times New Roman"/>
          <w:i/>
        </w:rPr>
        <w:t>« Japon –</w:t>
      </w:r>
      <w:r w:rsidR="00C3679D">
        <w:rPr>
          <w:rFonts w:ascii="Times New Roman" w:hAnsi="Times New Roman"/>
          <w:i/>
        </w:rPr>
        <w:t xml:space="preserve"> </w:t>
      </w:r>
      <w:r w:rsidR="00CF3282" w:rsidRPr="00D557F2">
        <w:rPr>
          <w:rFonts w:ascii="Times New Roman" w:hAnsi="Times New Roman"/>
          <w:i/>
        </w:rPr>
        <w:t>Restrictions à l’importation de produits agricoles »</w:t>
      </w:r>
      <w:r w:rsidR="00F00297">
        <w:rPr>
          <w:rStyle w:val="Marquenotebasdepage"/>
          <w:rFonts w:ascii="Times New Roman" w:hAnsi="Times New Roman"/>
          <w:i/>
        </w:rPr>
        <w:footnoteReference w:id="331"/>
      </w:r>
      <w:r w:rsidR="00CF3282" w:rsidRPr="00D557F2">
        <w:rPr>
          <w:rFonts w:ascii="Times New Roman" w:hAnsi="Times New Roman"/>
          <w:i/>
        </w:rPr>
        <w:t xml:space="preserve">. </w:t>
      </w:r>
      <w:r w:rsidR="00CF3282">
        <w:rPr>
          <w:rFonts w:ascii="Times New Roman" w:hAnsi="Times New Roman"/>
        </w:rPr>
        <w:t xml:space="preserve">Dans cette affaire, le critère de nécessité a été </w:t>
      </w:r>
      <w:r w:rsidR="00D93103">
        <w:rPr>
          <w:rFonts w:ascii="Times New Roman" w:hAnsi="Times New Roman"/>
        </w:rPr>
        <w:t>analysé au regard de</w:t>
      </w:r>
      <w:r w:rsidR="00CF3282" w:rsidRPr="00D557F2">
        <w:rPr>
          <w:rFonts w:ascii="Times New Roman" w:hAnsi="Times New Roman"/>
        </w:rPr>
        <w:t xml:space="preserve"> l’article XX </w:t>
      </w:r>
      <w:r w:rsidR="00CF3282" w:rsidRPr="00D557F2">
        <w:rPr>
          <w:rFonts w:ascii="Times New Roman" w:hAnsi="Times New Roman"/>
          <w:i/>
        </w:rPr>
        <w:t>d)</w:t>
      </w:r>
      <w:r w:rsidR="00CF3282" w:rsidRPr="00D557F2">
        <w:rPr>
          <w:rStyle w:val="Marquenotebasdepage"/>
          <w:rFonts w:ascii="Times New Roman" w:hAnsi="Times New Roman"/>
        </w:rPr>
        <w:footnoteReference w:id="332"/>
      </w:r>
      <w:r w:rsidR="00CF3282" w:rsidRPr="00D557F2">
        <w:rPr>
          <w:rFonts w:ascii="Times New Roman" w:hAnsi="Times New Roman"/>
        </w:rPr>
        <w:t xml:space="preserve">, le Groupe spécial a néanmoins considéré que l’interprétation de la notion devait être la même pour le paragraphe </w:t>
      </w:r>
      <w:r w:rsidR="00CF3282" w:rsidRPr="00D557F2">
        <w:rPr>
          <w:rFonts w:ascii="Times New Roman" w:hAnsi="Times New Roman"/>
          <w:i/>
        </w:rPr>
        <w:t>b)</w:t>
      </w:r>
      <w:r w:rsidR="00CF3282" w:rsidRPr="00D557F2">
        <w:rPr>
          <w:rFonts w:ascii="Times New Roman" w:hAnsi="Times New Roman"/>
        </w:rPr>
        <w:t xml:space="preserve"> en raison du fait que les alinéa </w:t>
      </w:r>
      <w:r w:rsidR="00CF3282" w:rsidRPr="00D557F2">
        <w:rPr>
          <w:rFonts w:ascii="Times New Roman" w:hAnsi="Times New Roman"/>
          <w:i/>
        </w:rPr>
        <w:t>d)</w:t>
      </w:r>
      <w:r w:rsidR="00CF3282" w:rsidRPr="00D557F2">
        <w:rPr>
          <w:rFonts w:ascii="Times New Roman" w:hAnsi="Times New Roman"/>
        </w:rPr>
        <w:t xml:space="preserve"> et </w:t>
      </w:r>
      <w:r w:rsidR="00CF3282" w:rsidRPr="00D557F2">
        <w:rPr>
          <w:rFonts w:ascii="Times New Roman" w:hAnsi="Times New Roman"/>
          <w:i/>
        </w:rPr>
        <w:t>b)</w:t>
      </w:r>
      <w:r w:rsidR="00CF3282" w:rsidRPr="00D557F2">
        <w:rPr>
          <w:rFonts w:ascii="Times New Roman" w:hAnsi="Times New Roman"/>
        </w:rPr>
        <w:t xml:space="preserve"> utilisent le même terme et poursuivent un objectif commun</w:t>
      </w:r>
      <w:r w:rsidR="00CF3282" w:rsidRPr="00D557F2">
        <w:rPr>
          <w:rStyle w:val="Marquenotebasdepage"/>
          <w:rFonts w:ascii="Times New Roman" w:hAnsi="Times New Roman"/>
        </w:rPr>
        <w:footnoteReference w:id="333"/>
      </w:r>
      <w:r w:rsidR="00CF3282" w:rsidRPr="00D557F2">
        <w:rPr>
          <w:rFonts w:ascii="Times New Roman" w:hAnsi="Times New Roman"/>
        </w:rPr>
        <w:t xml:space="preserve">. En effet, les deux alinéas permettent </w:t>
      </w:r>
      <w:r w:rsidR="00CF3282" w:rsidRPr="00D557F2">
        <w:rPr>
          <w:rFonts w:ascii="Times New Roman" w:hAnsi="Times New Roman"/>
          <w:i/>
        </w:rPr>
        <w:t>« d’imposer des mesures de restrictions incompatibles avec l’Accord général afin de poursuivre des objectifs supérieurs de l’action gouvernementale pour autant que ces incompatibilités soient inévitables »</w:t>
      </w:r>
      <w:r w:rsidR="00CF3282" w:rsidRPr="00D557F2">
        <w:rPr>
          <w:rStyle w:val="Marquenotebasdepage"/>
          <w:rFonts w:ascii="Times New Roman" w:hAnsi="Times New Roman"/>
        </w:rPr>
        <w:footnoteReference w:id="334"/>
      </w:r>
      <w:r w:rsidR="00CF3282" w:rsidRPr="00D557F2">
        <w:rPr>
          <w:rFonts w:ascii="Times New Roman" w:hAnsi="Times New Roman"/>
        </w:rPr>
        <w:t xml:space="preserve">. Alors que l’alinéa </w:t>
      </w:r>
      <w:r w:rsidR="00CF3282" w:rsidRPr="00D557F2">
        <w:rPr>
          <w:rFonts w:ascii="Times New Roman" w:hAnsi="Times New Roman"/>
          <w:i/>
        </w:rPr>
        <w:t>d)</w:t>
      </w:r>
      <w:r w:rsidR="00CF3282" w:rsidRPr="00D557F2">
        <w:rPr>
          <w:rFonts w:ascii="Times New Roman" w:hAnsi="Times New Roman"/>
        </w:rPr>
        <w:t xml:space="preserve"> s’applique à des incompatibilités qui résultent de l’application des lois et règlements compatibles avec l’Accord général, l’alinéa </w:t>
      </w:r>
      <w:r w:rsidR="00CF3282" w:rsidRPr="00D557F2">
        <w:rPr>
          <w:rFonts w:ascii="Times New Roman" w:hAnsi="Times New Roman"/>
          <w:i/>
        </w:rPr>
        <w:t>d)</w:t>
      </w:r>
      <w:r w:rsidR="00CF3282" w:rsidRPr="00D557F2">
        <w:rPr>
          <w:rFonts w:ascii="Times New Roman" w:hAnsi="Times New Roman"/>
        </w:rPr>
        <w:t xml:space="preserve"> s’applique à des incompatibilités qui découlent de choix pris par les gouvernements en matière de santé</w:t>
      </w:r>
      <w:r w:rsidR="00CF3282" w:rsidRPr="00D557F2">
        <w:rPr>
          <w:rStyle w:val="Marquenotebasdepage"/>
          <w:rFonts w:ascii="Times New Roman" w:hAnsi="Times New Roman"/>
        </w:rPr>
        <w:footnoteReference w:id="335"/>
      </w:r>
      <w:r w:rsidR="00CF3282" w:rsidRPr="00D557F2">
        <w:rPr>
          <w:rFonts w:ascii="Times New Roman" w:hAnsi="Times New Roman"/>
        </w:rPr>
        <w:t xml:space="preserve">. En conséquence, le Groupe spécial ne voit pas la raison pour laquelle le fait que les alinéas </w:t>
      </w:r>
      <w:r w:rsidR="00CF3282" w:rsidRPr="00D557F2">
        <w:rPr>
          <w:rFonts w:ascii="Times New Roman" w:hAnsi="Times New Roman"/>
          <w:i/>
        </w:rPr>
        <w:t>b)</w:t>
      </w:r>
      <w:r w:rsidR="00CF3282" w:rsidRPr="00D557F2">
        <w:rPr>
          <w:rFonts w:ascii="Times New Roman" w:hAnsi="Times New Roman"/>
        </w:rPr>
        <w:t xml:space="preserve"> et </w:t>
      </w:r>
      <w:r w:rsidR="00CF3282" w:rsidRPr="00D557F2">
        <w:rPr>
          <w:rFonts w:ascii="Times New Roman" w:hAnsi="Times New Roman"/>
          <w:i/>
        </w:rPr>
        <w:t>d)</w:t>
      </w:r>
      <w:r w:rsidR="00CF3282" w:rsidRPr="00D557F2">
        <w:rPr>
          <w:rFonts w:ascii="Times New Roman" w:hAnsi="Times New Roman"/>
        </w:rPr>
        <w:t xml:space="preserve"> soient relatifs à deux types de mesures différentes permet de considérer qu’une interprétation différente du terme « nécessaire » soit prise</w:t>
      </w:r>
      <w:r w:rsidR="00CF3282" w:rsidRPr="00D557F2">
        <w:rPr>
          <w:rStyle w:val="Marquenotebasdepage"/>
          <w:rFonts w:ascii="Times New Roman" w:hAnsi="Times New Roman"/>
        </w:rPr>
        <w:footnoteReference w:id="336"/>
      </w:r>
      <w:r w:rsidR="00CF3282" w:rsidRPr="00825BAD">
        <w:rPr>
          <w:rFonts w:ascii="Times New Roman" w:hAnsi="Times New Roman"/>
        </w:rPr>
        <w:t xml:space="preserve">. </w:t>
      </w:r>
      <w:r w:rsidR="00CF3282" w:rsidRPr="00D557F2">
        <w:rPr>
          <w:rFonts w:ascii="Times New Roman" w:hAnsi="Times New Roman"/>
        </w:rPr>
        <w:t xml:space="preserve">Ainsi, d’après le Groupe spécial, </w:t>
      </w:r>
      <w:r w:rsidR="00CF3282" w:rsidRPr="00D557F2">
        <w:rPr>
          <w:rFonts w:ascii="Times New Roman" w:hAnsi="Times New Roman"/>
          <w:i/>
        </w:rPr>
        <w:t>« une partie contractante ne peut justifier une mesure incompatible avec une autre disposition de l’Accord général en la déclarant « nécessaire » au sens de l’article XX d) si elle dispose d’une autre mesure dont on pourrait attendre raisonnablement qu’elle l’emploie et qui n’est pas incompatible avec d’autres dispositions de l’Accord général »</w:t>
      </w:r>
      <w:r w:rsidR="00CF3282" w:rsidRPr="00D557F2">
        <w:rPr>
          <w:rStyle w:val="Marquenotebasdepage"/>
          <w:rFonts w:ascii="Times New Roman" w:hAnsi="Times New Roman"/>
        </w:rPr>
        <w:footnoteReference w:id="337"/>
      </w:r>
      <w:r w:rsidR="00CF3282" w:rsidRPr="00D557F2">
        <w:rPr>
          <w:rFonts w:ascii="Times New Roman" w:hAnsi="Times New Roman"/>
        </w:rPr>
        <w:t>. Il s’agit véritablement de la nouveauté apportée par cette affaire dans la jurisprudence du droit de l’OMC</w:t>
      </w:r>
      <w:r w:rsidR="00DF2F54">
        <w:rPr>
          <w:rStyle w:val="Marquenotebasdepage"/>
          <w:rFonts w:ascii="Times New Roman" w:hAnsi="Times New Roman"/>
        </w:rPr>
        <w:footnoteReference w:id="338"/>
      </w:r>
      <w:r w:rsidR="00CF3282" w:rsidRPr="00D557F2">
        <w:rPr>
          <w:rFonts w:ascii="Times New Roman" w:hAnsi="Times New Roman"/>
        </w:rPr>
        <w:t xml:space="preserve">. En l’espèce, le Groupe spécial transpose l’analyse développée pour les conditions issues de l’alinéa </w:t>
      </w:r>
      <w:r w:rsidR="00CF3282" w:rsidRPr="00D557F2">
        <w:rPr>
          <w:rFonts w:ascii="Times New Roman" w:hAnsi="Times New Roman"/>
          <w:i/>
        </w:rPr>
        <w:t>d)</w:t>
      </w:r>
      <w:r w:rsidR="00CF3282" w:rsidRPr="00D557F2">
        <w:rPr>
          <w:rFonts w:ascii="Times New Roman" w:hAnsi="Times New Roman"/>
        </w:rPr>
        <w:t xml:space="preserve"> portant sur l’application des lois et règlements à l’alinéa </w:t>
      </w:r>
      <w:r w:rsidR="00CF3282" w:rsidRPr="00D557F2">
        <w:rPr>
          <w:rFonts w:ascii="Times New Roman" w:hAnsi="Times New Roman"/>
          <w:i/>
        </w:rPr>
        <w:t>b)</w:t>
      </w:r>
      <w:r w:rsidR="00CF3282" w:rsidRPr="00D557F2">
        <w:rPr>
          <w:rFonts w:ascii="Times New Roman" w:hAnsi="Times New Roman"/>
        </w:rPr>
        <w:t xml:space="preserve"> qui concerne les choix gouvernementaux liés à santé</w:t>
      </w:r>
      <w:r w:rsidR="00CF3282" w:rsidRPr="00D557F2">
        <w:rPr>
          <w:rStyle w:val="Marquenotebasdepage"/>
          <w:rFonts w:ascii="Times New Roman" w:hAnsi="Times New Roman"/>
        </w:rPr>
        <w:footnoteReference w:id="339"/>
      </w:r>
      <w:r w:rsidR="00CF3282" w:rsidRPr="00D557F2">
        <w:rPr>
          <w:rFonts w:ascii="Times New Roman" w:hAnsi="Times New Roman"/>
        </w:rPr>
        <w:t xml:space="preserve">. Il a également été ajouté ce qui suit : </w:t>
      </w:r>
      <w:r w:rsidR="00CF3282" w:rsidRPr="00D557F2">
        <w:rPr>
          <w:rFonts w:ascii="Times New Roman" w:hAnsi="Times New Roman"/>
          <w:i/>
        </w:rPr>
        <w:t>« De même, dans les cas où une mesure compatible avec d’autres dispositions de l’Accord général n’est pas raisonnablement disponible, une partie contractante a l’obligation d’utiliser, parmi les mesures dont elle dispose raisonnablement, celle qui comporte le moindre degré d’incompatibilité avec les autres dispositions de l’Accord général »</w:t>
      </w:r>
      <w:r w:rsidR="00CF3282" w:rsidRPr="00D557F2">
        <w:rPr>
          <w:rStyle w:val="Marquenotebasdepage"/>
          <w:rFonts w:ascii="Times New Roman" w:hAnsi="Times New Roman"/>
        </w:rPr>
        <w:footnoteReference w:id="340"/>
      </w:r>
      <w:r w:rsidR="00CF3282" w:rsidRPr="00D557F2">
        <w:rPr>
          <w:rFonts w:ascii="Times New Roman" w:hAnsi="Times New Roman"/>
        </w:rPr>
        <w:t xml:space="preserve">. </w:t>
      </w:r>
    </w:p>
    <w:p w14:paraId="6ED22783" w14:textId="77777777" w:rsidR="00F00297" w:rsidRPr="00F00297" w:rsidRDefault="00F00297" w:rsidP="009B4135">
      <w:pPr>
        <w:tabs>
          <w:tab w:val="left" w:pos="7720"/>
        </w:tabs>
        <w:spacing w:line="360" w:lineRule="auto"/>
        <w:jc w:val="both"/>
        <w:rPr>
          <w:rFonts w:ascii="Times New Roman" w:hAnsi="Times New Roman"/>
          <w:i/>
        </w:rPr>
      </w:pPr>
    </w:p>
    <w:p w14:paraId="00E9EB9B" w14:textId="7B2F00EF" w:rsidR="001611EB" w:rsidRPr="00B662C0" w:rsidRDefault="00B95196" w:rsidP="00B662C0">
      <w:pPr>
        <w:spacing w:line="360" w:lineRule="auto"/>
        <w:jc w:val="both"/>
        <w:rPr>
          <w:rFonts w:ascii="Times New Roman" w:hAnsi="Times New Roman"/>
        </w:rPr>
      </w:pPr>
      <w:r w:rsidRPr="00570190">
        <w:rPr>
          <w:rFonts w:ascii="Times New Roman" w:hAnsi="Times New Roman"/>
        </w:rPr>
        <w:t xml:space="preserve">Dans l’affaire </w:t>
      </w:r>
      <w:r w:rsidRPr="00570190">
        <w:rPr>
          <w:rFonts w:ascii="Times New Roman" w:hAnsi="Times New Roman"/>
          <w:i/>
        </w:rPr>
        <w:t>Cigarettes</w:t>
      </w:r>
      <w:r w:rsidRPr="00570190">
        <w:rPr>
          <w:rFonts w:ascii="Times New Roman" w:hAnsi="Times New Roman"/>
        </w:rPr>
        <w:t>, l</w:t>
      </w:r>
      <w:r w:rsidR="009B4135" w:rsidRPr="00570190">
        <w:rPr>
          <w:rFonts w:ascii="Times New Roman" w:hAnsi="Times New Roman"/>
        </w:rPr>
        <w:t xml:space="preserve">e Groupe spécial </w:t>
      </w:r>
      <w:r w:rsidR="00122DB8" w:rsidRPr="00570190">
        <w:rPr>
          <w:rFonts w:ascii="Times New Roman" w:hAnsi="Times New Roman"/>
        </w:rPr>
        <w:t xml:space="preserve">a </w:t>
      </w:r>
      <w:r w:rsidR="00AE730A" w:rsidRPr="00570190">
        <w:rPr>
          <w:rFonts w:ascii="Times New Roman" w:hAnsi="Times New Roman"/>
        </w:rPr>
        <w:t>repris les conclusions de l’affaire susmentionnée</w:t>
      </w:r>
      <w:r w:rsidR="00AE730A" w:rsidRPr="00570190">
        <w:rPr>
          <w:rStyle w:val="Marquenotebasdepage"/>
          <w:rFonts w:ascii="Times New Roman" w:hAnsi="Times New Roman"/>
        </w:rPr>
        <w:footnoteReference w:id="341"/>
      </w:r>
      <w:r w:rsidR="00B662C0" w:rsidRPr="00570190">
        <w:rPr>
          <w:rFonts w:ascii="Times New Roman" w:hAnsi="Times New Roman"/>
        </w:rPr>
        <w:t xml:space="preserve">  et </w:t>
      </w:r>
      <w:r w:rsidR="00A41248" w:rsidRPr="00570190">
        <w:rPr>
          <w:rFonts w:ascii="Times New Roman" w:hAnsi="Times New Roman"/>
        </w:rPr>
        <w:t>a</w:t>
      </w:r>
      <w:r w:rsidR="00A41248">
        <w:rPr>
          <w:rFonts w:ascii="Times New Roman" w:hAnsi="Times New Roman"/>
        </w:rPr>
        <w:t xml:space="preserve"> considéré</w:t>
      </w:r>
      <w:r w:rsidR="00390DC9">
        <w:rPr>
          <w:rFonts w:ascii="Times New Roman" w:hAnsi="Times New Roman"/>
        </w:rPr>
        <w:t xml:space="preserve"> que</w:t>
      </w:r>
      <w:r w:rsidR="00B662C0">
        <w:rPr>
          <w:rFonts w:ascii="Times New Roman" w:hAnsi="Times New Roman"/>
        </w:rPr>
        <w:t>,</w:t>
      </w:r>
      <w:r w:rsidR="009B4135" w:rsidRPr="00D557F2">
        <w:rPr>
          <w:rFonts w:ascii="Times New Roman" w:hAnsi="Times New Roman"/>
        </w:rPr>
        <w:t xml:space="preserve"> dans le cas d’espèce et pour toutes autres affaires ultérieures</w:t>
      </w:r>
      <w:r w:rsidR="009B4135">
        <w:rPr>
          <w:rStyle w:val="Marquenotebasdepage"/>
          <w:rFonts w:ascii="Times New Roman" w:hAnsi="Times New Roman"/>
        </w:rPr>
        <w:footnoteReference w:id="342"/>
      </w:r>
      <w:r w:rsidR="009B4135" w:rsidRPr="00D557F2">
        <w:rPr>
          <w:rFonts w:ascii="Times New Roman" w:hAnsi="Times New Roman"/>
        </w:rPr>
        <w:t xml:space="preserve"> que les restrictions à l’impo</w:t>
      </w:r>
      <w:r w:rsidR="009B4135">
        <w:rPr>
          <w:rFonts w:ascii="Times New Roman" w:hAnsi="Times New Roman"/>
        </w:rPr>
        <w:t>rtation n’étaient « nécessaires »</w:t>
      </w:r>
      <w:r w:rsidR="009B4135" w:rsidRPr="00D557F2">
        <w:rPr>
          <w:rStyle w:val="Marquenotebasdepage"/>
          <w:rFonts w:ascii="Times New Roman" w:hAnsi="Times New Roman"/>
        </w:rPr>
        <w:footnoteReference w:id="343"/>
      </w:r>
      <w:r w:rsidR="009B4135" w:rsidRPr="00D557F2">
        <w:rPr>
          <w:rFonts w:ascii="Times New Roman" w:hAnsi="Times New Roman"/>
        </w:rPr>
        <w:t xml:space="preserve"> au sens de l’article XX </w:t>
      </w:r>
      <w:r w:rsidR="009B4135" w:rsidRPr="00D557F2">
        <w:rPr>
          <w:rFonts w:ascii="Times New Roman" w:hAnsi="Times New Roman"/>
          <w:i/>
        </w:rPr>
        <w:t>b)</w:t>
      </w:r>
      <w:r w:rsidR="009B4135" w:rsidRPr="00D557F2">
        <w:rPr>
          <w:rFonts w:ascii="Times New Roman" w:hAnsi="Times New Roman"/>
        </w:rPr>
        <w:t xml:space="preserve"> que </w:t>
      </w:r>
      <w:r w:rsidR="009B4135" w:rsidRPr="00D557F2">
        <w:rPr>
          <w:rFonts w:ascii="Times New Roman" w:hAnsi="Times New Roman"/>
          <w:i/>
        </w:rPr>
        <w:t xml:space="preserve">« s’il n’y avait pas d’autres mesures compatibles ou moins incompatibles, avec l’Accord général qu’elle pouvait raisonnablement </w:t>
      </w:r>
      <w:r w:rsidR="00E9299F">
        <w:rPr>
          <w:rFonts w:ascii="Times New Roman" w:hAnsi="Times New Roman"/>
          <w:i/>
        </w:rPr>
        <w:t xml:space="preserve">être censée </w:t>
      </w:r>
      <w:r w:rsidR="009B4135" w:rsidRPr="00D557F2">
        <w:rPr>
          <w:rFonts w:ascii="Times New Roman" w:hAnsi="Times New Roman"/>
          <w:i/>
        </w:rPr>
        <w:t>employer pour atteindre les objectifs de sa politique de santé »</w:t>
      </w:r>
      <w:r w:rsidR="009B4135" w:rsidRPr="00D557F2">
        <w:rPr>
          <w:rStyle w:val="Marquenotebasdepage"/>
          <w:rFonts w:ascii="Times New Roman" w:hAnsi="Times New Roman"/>
        </w:rPr>
        <w:footnoteReference w:id="344"/>
      </w:r>
      <w:r w:rsidR="009B4135" w:rsidRPr="00D557F2">
        <w:rPr>
          <w:rFonts w:ascii="Times New Roman" w:hAnsi="Times New Roman"/>
        </w:rPr>
        <w:t>.</w:t>
      </w:r>
      <w:r w:rsidR="009B4135">
        <w:rPr>
          <w:rFonts w:ascii="Times New Roman" w:hAnsi="Times New Roman"/>
        </w:rPr>
        <w:t xml:space="preserve"> </w:t>
      </w:r>
      <w:r>
        <w:rPr>
          <w:rFonts w:ascii="Times New Roman" w:hAnsi="Times New Roman"/>
        </w:rPr>
        <w:t xml:space="preserve">Dans les faits, </w:t>
      </w:r>
      <w:r w:rsidRPr="00D557F2">
        <w:rPr>
          <w:rFonts w:ascii="Times New Roman" w:hAnsi="Times New Roman"/>
        </w:rPr>
        <w:t>les mesures imposées par la Thaïlande n’ont pas été considérées par le Groupe spécial comme nécessaires à la protection de la santé des personnes étant donné que d’autres mesures compatibles avec l’Accord général aurai</w:t>
      </w:r>
      <w:r w:rsidR="00D93103">
        <w:rPr>
          <w:rFonts w:ascii="Times New Roman" w:hAnsi="Times New Roman"/>
        </w:rPr>
        <w:t>en</w:t>
      </w:r>
      <w:r w:rsidRPr="00D557F2">
        <w:rPr>
          <w:rFonts w:ascii="Times New Roman" w:hAnsi="Times New Roman"/>
        </w:rPr>
        <w:t>t pu être utilisée</w:t>
      </w:r>
      <w:r w:rsidR="00D93103">
        <w:rPr>
          <w:rFonts w:ascii="Times New Roman" w:hAnsi="Times New Roman"/>
        </w:rPr>
        <w:t>s</w:t>
      </w:r>
      <w:r w:rsidRPr="00D557F2">
        <w:rPr>
          <w:rFonts w:ascii="Times New Roman" w:hAnsi="Times New Roman"/>
        </w:rPr>
        <w:t xml:space="preserve"> afin d’atteindre les mêmes objectifs de santé publique</w:t>
      </w:r>
      <w:r>
        <w:rPr>
          <w:rStyle w:val="Marquenotebasdepage"/>
          <w:rFonts w:ascii="Times New Roman" w:hAnsi="Times New Roman"/>
        </w:rPr>
        <w:footnoteReference w:id="345"/>
      </w:r>
      <w:r w:rsidRPr="00D557F2">
        <w:rPr>
          <w:rFonts w:ascii="Times New Roman" w:hAnsi="Times New Roman"/>
        </w:rPr>
        <w:t>.</w:t>
      </w:r>
    </w:p>
    <w:p w14:paraId="0BFC8823" w14:textId="77777777" w:rsidR="00122DB8" w:rsidRDefault="00122DB8" w:rsidP="00CF3282">
      <w:pPr>
        <w:spacing w:line="360" w:lineRule="auto"/>
        <w:jc w:val="both"/>
        <w:rPr>
          <w:rFonts w:ascii="Times New Roman" w:hAnsi="Times New Roman" w:cs="Times New Roman"/>
        </w:rPr>
      </w:pPr>
    </w:p>
    <w:p w14:paraId="384CC3A6" w14:textId="7ADED933" w:rsidR="00CF3282" w:rsidRDefault="00CF3282" w:rsidP="00CF3282">
      <w:pPr>
        <w:spacing w:line="360" w:lineRule="auto"/>
        <w:jc w:val="both"/>
        <w:rPr>
          <w:rFonts w:ascii="Times New Roman" w:hAnsi="Times New Roman" w:cs="Times New Roman"/>
        </w:rPr>
      </w:pPr>
      <w:r w:rsidRPr="00BF43DA">
        <w:rPr>
          <w:rFonts w:ascii="Times New Roman" w:hAnsi="Times New Roman" w:cs="Times New Roman"/>
        </w:rPr>
        <w:t xml:space="preserve">Dans l’affaire </w:t>
      </w:r>
      <w:r w:rsidRPr="004A28B9">
        <w:rPr>
          <w:rFonts w:ascii="Times New Roman" w:hAnsi="Times New Roman" w:cs="Times New Roman"/>
          <w:i/>
        </w:rPr>
        <w:t>Thon I</w:t>
      </w:r>
      <w:r w:rsidRPr="00BF43DA">
        <w:rPr>
          <w:rFonts w:ascii="Times New Roman" w:hAnsi="Times New Roman" w:cs="Times New Roman"/>
        </w:rPr>
        <w:t xml:space="preserve">, </w:t>
      </w:r>
      <w:r>
        <w:rPr>
          <w:rFonts w:ascii="Times New Roman" w:hAnsi="Times New Roman" w:cs="Times New Roman"/>
        </w:rPr>
        <w:t xml:space="preserve">le Groupe spécial a considéré que la mesure américaine ne respectait pas le critère de nécessité et ce, même si une application de l’article XX </w:t>
      </w:r>
      <w:r w:rsidRPr="004A28B9">
        <w:rPr>
          <w:rFonts w:ascii="Times New Roman" w:hAnsi="Times New Roman" w:cs="Times New Roman"/>
          <w:i/>
        </w:rPr>
        <w:t>b)</w:t>
      </w:r>
      <w:r>
        <w:rPr>
          <w:rFonts w:ascii="Times New Roman" w:hAnsi="Times New Roman" w:cs="Times New Roman"/>
        </w:rPr>
        <w:t xml:space="preserve"> hors de la sphère de compétence du pays avait été autorisée pour deux raisons</w:t>
      </w:r>
      <w:r w:rsidR="00F00297">
        <w:rPr>
          <w:rStyle w:val="Marquenotebasdepage"/>
          <w:rFonts w:ascii="Times New Roman" w:hAnsi="Times New Roman" w:cs="Times New Roman"/>
        </w:rPr>
        <w:footnoteReference w:id="346"/>
      </w:r>
      <w:r>
        <w:rPr>
          <w:rFonts w:ascii="Times New Roman" w:hAnsi="Times New Roman" w:cs="Times New Roman"/>
        </w:rPr>
        <w:t xml:space="preserve">. En premier lieu, les Etats-Unis n’avaient pas prouvé qu’ils </w:t>
      </w:r>
      <w:r w:rsidRPr="004A28B9">
        <w:rPr>
          <w:rFonts w:ascii="Times New Roman" w:hAnsi="Times New Roman" w:cs="Times New Roman"/>
          <w:i/>
        </w:rPr>
        <w:t>« avaient épuisé tous les moyens qu’ils pouvaient raisonnablement utiliser pour réaliser leurs objectifs de protection des dauphins en prenant des mesures compatibles avec l’Accord général, en particulier dans la négociation d’arrangements de coopération internationale, qui paraissait souhaitable puisque les dauphins vivaient dans les eaux de nombreux Etats et en haute mer »</w:t>
      </w:r>
      <w:r>
        <w:rPr>
          <w:rStyle w:val="Marquenotebasdepage"/>
          <w:rFonts w:ascii="Times New Roman" w:hAnsi="Times New Roman" w:cs="Times New Roman"/>
        </w:rPr>
        <w:footnoteReference w:id="347"/>
      </w:r>
      <w:r>
        <w:rPr>
          <w:rFonts w:ascii="Times New Roman" w:hAnsi="Times New Roman" w:cs="Times New Roman"/>
        </w:rPr>
        <w:t xml:space="preserve">. En second lieu, le Groupe spécial a estimé que même dans l’hypothèse où l’interdiction des importations était la seule que les Etats-Unis pouvaient raisonnablement prendre, la mesure qu’ils avaient appliquée ne remplissait pas le critère de nécessité au sens de l’article XX </w:t>
      </w:r>
      <w:r w:rsidRPr="00390DC9">
        <w:rPr>
          <w:rFonts w:ascii="Times New Roman" w:hAnsi="Times New Roman" w:cs="Times New Roman"/>
          <w:i/>
        </w:rPr>
        <w:t>b)</w:t>
      </w:r>
      <w:r>
        <w:rPr>
          <w:rStyle w:val="Marquenotebasdepage"/>
          <w:rFonts w:ascii="Times New Roman" w:hAnsi="Times New Roman" w:cs="Times New Roman"/>
        </w:rPr>
        <w:footnoteReference w:id="348"/>
      </w:r>
      <w:r>
        <w:rPr>
          <w:rFonts w:ascii="Times New Roman" w:hAnsi="Times New Roman" w:cs="Times New Roman"/>
        </w:rPr>
        <w:t xml:space="preserve">. </w:t>
      </w:r>
      <w:r w:rsidR="005F7C9D">
        <w:rPr>
          <w:rFonts w:ascii="Times New Roman" w:hAnsi="Times New Roman" w:cs="Times New Roman"/>
        </w:rPr>
        <w:t>En effet, ils établissaient un</w:t>
      </w:r>
      <w:r>
        <w:rPr>
          <w:rFonts w:ascii="Times New Roman" w:hAnsi="Times New Roman" w:cs="Times New Roman"/>
        </w:rPr>
        <w:t> rapport entre le taux maximal de prises accidentelles de dauphins que le Mexique se devait de respecter durant une période déterminée afin de pouvoir exporter du thon aux Etats-Unis et le taux de prises effectivement enregistré pour les pêcheurs am</w:t>
      </w:r>
      <w:r w:rsidR="005F7C9D">
        <w:rPr>
          <w:rFonts w:ascii="Times New Roman" w:hAnsi="Times New Roman" w:cs="Times New Roman"/>
        </w:rPr>
        <w:t>éricains durant la même période</w:t>
      </w:r>
      <w:r>
        <w:rPr>
          <w:rStyle w:val="Marquenotebasdepage"/>
          <w:rFonts w:ascii="Times New Roman" w:hAnsi="Times New Roman" w:cs="Times New Roman"/>
        </w:rPr>
        <w:footnoteReference w:id="349"/>
      </w:r>
      <w:r w:rsidR="005F7C9D">
        <w:rPr>
          <w:rFonts w:ascii="Times New Roman" w:hAnsi="Times New Roman" w:cs="Times New Roman"/>
        </w:rPr>
        <w:t>.</w:t>
      </w:r>
      <w:r>
        <w:rPr>
          <w:rFonts w:ascii="Times New Roman" w:hAnsi="Times New Roman" w:cs="Times New Roman"/>
        </w:rPr>
        <w:t xml:space="preserve">  En conséquence, le Mexique n’était pas en mesure de savoir à un moment donné s’il agissait en conformité avec les normes de protection des dauphins fixées par les Etats-Unis</w:t>
      </w:r>
      <w:r>
        <w:rPr>
          <w:rStyle w:val="Marquenotebasdepage"/>
          <w:rFonts w:ascii="Times New Roman" w:hAnsi="Times New Roman" w:cs="Times New Roman"/>
        </w:rPr>
        <w:footnoteReference w:id="350"/>
      </w:r>
      <w:r>
        <w:rPr>
          <w:rFonts w:ascii="Times New Roman" w:hAnsi="Times New Roman" w:cs="Times New Roman"/>
        </w:rPr>
        <w:t xml:space="preserve">. Le Groupe spécial a donc considéré que les Etats-Unis limitaient les échanges en se basant sur des conditions imprévisibles qui ne pouvaient être </w:t>
      </w:r>
      <w:r w:rsidRPr="0018135B">
        <w:rPr>
          <w:rFonts w:ascii="Times New Roman" w:hAnsi="Times New Roman" w:cs="Times New Roman"/>
        </w:rPr>
        <w:t>considérée</w:t>
      </w:r>
      <w:r w:rsidR="00122DB8" w:rsidRPr="0018135B">
        <w:rPr>
          <w:rFonts w:ascii="Times New Roman" w:hAnsi="Times New Roman" w:cs="Times New Roman"/>
        </w:rPr>
        <w:t>s</w:t>
      </w:r>
      <w:r w:rsidRPr="0018135B">
        <w:rPr>
          <w:rFonts w:ascii="Times New Roman" w:hAnsi="Times New Roman" w:cs="Times New Roman"/>
        </w:rPr>
        <w:t xml:space="preserve"> comme nécessaire</w:t>
      </w:r>
      <w:r w:rsidR="00D93103" w:rsidRPr="0018135B">
        <w:rPr>
          <w:rFonts w:ascii="Times New Roman" w:hAnsi="Times New Roman" w:cs="Times New Roman"/>
        </w:rPr>
        <w:t>s</w:t>
      </w:r>
      <w:r w:rsidRPr="0018135B">
        <w:rPr>
          <w:rFonts w:ascii="Times New Roman" w:hAnsi="Times New Roman" w:cs="Times New Roman"/>
        </w:rPr>
        <w:t xml:space="preserve"> pour la protection de la santé et de la vie des dauphins</w:t>
      </w:r>
      <w:r w:rsidRPr="0018135B">
        <w:rPr>
          <w:rStyle w:val="Marquenotebasdepage"/>
          <w:rFonts w:ascii="Times New Roman" w:hAnsi="Times New Roman" w:cs="Times New Roman"/>
        </w:rPr>
        <w:footnoteReference w:id="351"/>
      </w:r>
      <w:r w:rsidRPr="0018135B">
        <w:rPr>
          <w:rFonts w:ascii="Times New Roman" w:hAnsi="Times New Roman" w:cs="Times New Roman"/>
        </w:rPr>
        <w:t>.</w:t>
      </w:r>
      <w:r>
        <w:rPr>
          <w:rFonts w:ascii="Times New Roman" w:hAnsi="Times New Roman" w:cs="Times New Roman"/>
        </w:rPr>
        <w:t xml:space="preserve"> </w:t>
      </w:r>
    </w:p>
    <w:p w14:paraId="407B2438" w14:textId="77777777" w:rsidR="00BE7E9A" w:rsidRDefault="00BE7E9A" w:rsidP="00CF3282">
      <w:pPr>
        <w:spacing w:line="360" w:lineRule="auto"/>
        <w:jc w:val="both"/>
        <w:rPr>
          <w:rFonts w:ascii="Times New Roman" w:hAnsi="Times New Roman" w:cs="Times New Roman"/>
        </w:rPr>
      </w:pPr>
    </w:p>
    <w:p w14:paraId="0996587C" w14:textId="523F680C" w:rsidR="00733BCD" w:rsidRDefault="00733BCD" w:rsidP="00733BCD">
      <w:pPr>
        <w:spacing w:line="360" w:lineRule="auto"/>
        <w:jc w:val="both"/>
        <w:rPr>
          <w:rFonts w:ascii="Times New Roman" w:hAnsi="Times New Roman" w:cs="Times New Roman"/>
        </w:rPr>
      </w:pPr>
      <w:r>
        <w:rPr>
          <w:rFonts w:ascii="Times New Roman" w:hAnsi="Times New Roman"/>
        </w:rPr>
        <w:t xml:space="preserve">Dans l’affaire </w:t>
      </w:r>
      <w:r w:rsidRPr="000936DA">
        <w:rPr>
          <w:rFonts w:ascii="Times New Roman" w:hAnsi="Times New Roman"/>
          <w:i/>
        </w:rPr>
        <w:t>Essence</w:t>
      </w:r>
      <w:r>
        <w:rPr>
          <w:rFonts w:ascii="Times New Roman" w:hAnsi="Times New Roman"/>
        </w:rPr>
        <w:t xml:space="preserve">, le Groupe spécial a analysé si les Etats-Unis disposaient raisonnablement de mesures compatibles ou moins incompatibles avec l’Accord général afin </w:t>
      </w:r>
      <w:r w:rsidRPr="00D91D7E">
        <w:rPr>
          <w:rFonts w:ascii="Times New Roman" w:hAnsi="Times New Roman"/>
        </w:rPr>
        <w:t>de faire resp</w:t>
      </w:r>
      <w:r w:rsidR="00E60118">
        <w:rPr>
          <w:rFonts w:ascii="Times New Roman" w:hAnsi="Times New Roman"/>
        </w:rPr>
        <w:t xml:space="preserve">ecter leurs objectifs généraux. </w:t>
      </w:r>
      <w:r w:rsidRPr="00604D8A">
        <w:rPr>
          <w:rFonts w:ascii="Times New Roman" w:hAnsi="Times New Roman" w:cs="Times New Roman"/>
        </w:rPr>
        <w:t xml:space="preserve">Le Groupe spécial n'a pas considéré que </w:t>
      </w:r>
      <w:r w:rsidRPr="00604D8A">
        <w:rPr>
          <w:rFonts w:ascii="Times New Roman" w:hAnsi="Times New Roman" w:cs="Times New Roman"/>
          <w:i/>
        </w:rPr>
        <w:t>« cette façon d'empêcher effectivement l'essence importée de bénéficier de conditions de vente aussi favorables que celles qui résultaient, pour l'essence nationale, de l'établissement d'un niveau de base individuel propre au producteur était nécessaire pour atteindre les objectifs déclarés de la Réglementation sur l'essence »</w:t>
      </w:r>
      <w:r w:rsidRPr="00604D8A">
        <w:rPr>
          <w:rStyle w:val="Marquenotebasdepage"/>
          <w:rFonts w:ascii="Times New Roman" w:hAnsi="Times New Roman" w:cs="Times New Roman"/>
        </w:rPr>
        <w:footnoteReference w:id="352"/>
      </w:r>
      <w:r w:rsidRPr="00604D8A">
        <w:rPr>
          <w:rFonts w:ascii="Times New Roman" w:hAnsi="Times New Roman" w:cs="Times New Roman"/>
        </w:rPr>
        <w:t>. D’après</w:t>
      </w:r>
      <w:r w:rsidR="00E60118">
        <w:rPr>
          <w:rFonts w:ascii="Times New Roman" w:hAnsi="Times New Roman" w:cs="Times New Roman"/>
        </w:rPr>
        <w:t xml:space="preserve"> ce dernier</w:t>
      </w:r>
      <w:r w:rsidRPr="00604D8A">
        <w:rPr>
          <w:rFonts w:ascii="Times New Roman" w:hAnsi="Times New Roman" w:cs="Times New Roman"/>
        </w:rPr>
        <w:t>, l'application des méthodes d'établissement des niveaux de base aux entités qui interviennent dans le commerce de l'essence importée est tout à fait possible et permettrait d’octroyer à l'essence importée « un traitement compatible, ou moins incompatible, avec l'Accord général »</w:t>
      </w:r>
      <w:r w:rsidRPr="00604D8A">
        <w:rPr>
          <w:rStyle w:val="Marquenotebasdepage"/>
          <w:rFonts w:ascii="Times New Roman" w:hAnsi="Times New Roman" w:cs="Times New Roman"/>
        </w:rPr>
        <w:footnoteReference w:id="353"/>
      </w:r>
      <w:r w:rsidRPr="00604D8A">
        <w:rPr>
          <w:rFonts w:ascii="Times New Roman" w:hAnsi="Times New Roman" w:cs="Times New Roman"/>
        </w:rPr>
        <w:t>.</w:t>
      </w:r>
      <w:r w:rsidR="00BE7E9A">
        <w:rPr>
          <w:rFonts w:ascii="Times New Roman" w:hAnsi="Times New Roman" w:cs="Times New Roman"/>
        </w:rPr>
        <w:t xml:space="preserve"> </w:t>
      </w:r>
      <w:r w:rsidRPr="00122DB8">
        <w:rPr>
          <w:rFonts w:ascii="Times New Roman" w:hAnsi="Times New Roman" w:cs="Times New Roman"/>
        </w:rPr>
        <w:t xml:space="preserve">Il a ajouté que diverses possibilités </w:t>
      </w:r>
      <w:r w:rsidR="00AE6A7F" w:rsidRPr="00122DB8">
        <w:rPr>
          <w:rFonts w:ascii="Times New Roman" w:hAnsi="Times New Roman" w:cs="Times New Roman"/>
        </w:rPr>
        <w:t xml:space="preserve">compatibles, ou moins incompatibles, avec l'Accord général </w:t>
      </w:r>
      <w:r w:rsidRPr="00122DB8">
        <w:rPr>
          <w:rFonts w:ascii="Times New Roman" w:hAnsi="Times New Roman" w:cs="Times New Roman"/>
        </w:rPr>
        <w:t xml:space="preserve">étaient raisonnablement à la disposition des </w:t>
      </w:r>
      <w:r w:rsidR="00AE6A7F" w:rsidRPr="00122DB8">
        <w:rPr>
          <w:rFonts w:ascii="Times New Roman" w:hAnsi="Times New Roman" w:cs="Times New Roman"/>
        </w:rPr>
        <w:t xml:space="preserve">Etats-Unis. </w:t>
      </w:r>
      <w:r w:rsidRPr="00122DB8">
        <w:rPr>
          <w:rFonts w:ascii="Times New Roman" w:hAnsi="Times New Roman" w:cs="Times New Roman"/>
        </w:rPr>
        <w:t>Par conséquent, le Grou</w:t>
      </w:r>
      <w:r>
        <w:rPr>
          <w:rFonts w:ascii="Times New Roman" w:hAnsi="Times New Roman" w:cs="Times New Roman"/>
        </w:rPr>
        <w:t>pe spécial</w:t>
      </w:r>
      <w:r w:rsidRPr="00604D8A">
        <w:rPr>
          <w:rFonts w:ascii="Times New Roman" w:hAnsi="Times New Roman" w:cs="Times New Roman"/>
        </w:rPr>
        <w:t xml:space="preserve"> a conclu que les États-Unis </w:t>
      </w:r>
      <w:r>
        <w:rPr>
          <w:rFonts w:ascii="Times New Roman" w:hAnsi="Times New Roman" w:cs="Times New Roman"/>
        </w:rPr>
        <w:t>n’avai</w:t>
      </w:r>
      <w:r w:rsidR="00D93103">
        <w:rPr>
          <w:rFonts w:ascii="Times New Roman" w:hAnsi="Times New Roman" w:cs="Times New Roman"/>
        </w:rPr>
        <w:t>en</w:t>
      </w:r>
      <w:r>
        <w:rPr>
          <w:rFonts w:ascii="Times New Roman" w:hAnsi="Times New Roman" w:cs="Times New Roman"/>
        </w:rPr>
        <w:t xml:space="preserve">t pas démontré </w:t>
      </w:r>
      <w:r w:rsidRPr="00604D8A">
        <w:rPr>
          <w:rFonts w:ascii="Times New Roman" w:hAnsi="Times New Roman" w:cs="Times New Roman"/>
        </w:rPr>
        <w:t>la nécessité de l'incompatibilité de la Réglementation s</w:t>
      </w:r>
      <w:r>
        <w:rPr>
          <w:rFonts w:ascii="Times New Roman" w:hAnsi="Times New Roman" w:cs="Times New Roman"/>
        </w:rPr>
        <w:t>ur l'essence avec l'article III§</w:t>
      </w:r>
      <w:r w:rsidRPr="00604D8A">
        <w:rPr>
          <w:rFonts w:ascii="Times New Roman" w:hAnsi="Times New Roman" w:cs="Times New Roman"/>
        </w:rPr>
        <w:t>4</w:t>
      </w:r>
      <w:r w:rsidRPr="00604D8A">
        <w:rPr>
          <w:rStyle w:val="Marquenotebasdepage"/>
          <w:rFonts w:ascii="Times New Roman" w:hAnsi="Times New Roman" w:cs="Times New Roman"/>
        </w:rPr>
        <w:footnoteReference w:id="354"/>
      </w:r>
      <w:r w:rsidRPr="00604D8A">
        <w:rPr>
          <w:rFonts w:ascii="Times New Roman" w:hAnsi="Times New Roman" w:cs="Times New Roman"/>
        </w:rPr>
        <w:t>.</w:t>
      </w:r>
      <w:r>
        <w:rPr>
          <w:rFonts w:ascii="Times New Roman" w:hAnsi="Times New Roman" w:cs="Times New Roman"/>
        </w:rPr>
        <w:t xml:space="preserve"> </w:t>
      </w:r>
    </w:p>
    <w:p w14:paraId="0EE46E97" w14:textId="77777777" w:rsidR="00080648" w:rsidRDefault="00080648" w:rsidP="00733BCD">
      <w:pPr>
        <w:spacing w:line="360" w:lineRule="auto"/>
        <w:jc w:val="both"/>
        <w:rPr>
          <w:rFonts w:ascii="Times New Roman" w:hAnsi="Times New Roman" w:cs="Times New Roman"/>
        </w:rPr>
      </w:pPr>
    </w:p>
    <w:p w14:paraId="12C86289" w14:textId="23356958" w:rsidR="00C14253" w:rsidRDefault="00C14253" w:rsidP="00C14253">
      <w:pPr>
        <w:spacing w:line="360" w:lineRule="auto"/>
        <w:jc w:val="both"/>
        <w:rPr>
          <w:rFonts w:ascii="Times New Roman" w:hAnsi="Times New Roman" w:cs="Times New Roman"/>
        </w:rPr>
      </w:pPr>
      <w:r>
        <w:rPr>
          <w:rFonts w:ascii="Times New Roman" w:hAnsi="Times New Roman" w:cs="Times New Roman"/>
        </w:rPr>
        <w:t xml:space="preserve">Dans l’affaire </w:t>
      </w:r>
      <w:r w:rsidRPr="00C14253">
        <w:rPr>
          <w:rFonts w:ascii="Times New Roman" w:hAnsi="Times New Roman" w:cs="Times New Roman"/>
          <w:i/>
        </w:rPr>
        <w:t>Amiante</w:t>
      </w:r>
      <w:r>
        <w:rPr>
          <w:rFonts w:ascii="Times New Roman" w:hAnsi="Times New Roman" w:cs="Times New Roman"/>
        </w:rPr>
        <w:t xml:space="preserve">, le Groupe spécial a considéré qu’il existait dans le chef des CE un </w:t>
      </w:r>
      <w:r w:rsidRPr="0066522A">
        <w:rPr>
          <w:rFonts w:ascii="Times New Roman" w:hAnsi="Times New Roman" w:cs="Times New Roman"/>
          <w:i/>
        </w:rPr>
        <w:t>« commencement de preuve qu’il n’existait pas d’alternative raisonnablement disponible à l’interdiction du chrysotile et des produits en chrysotile-ciment et au recours aux produits de substitution »</w:t>
      </w:r>
      <w:r>
        <w:rPr>
          <w:rStyle w:val="Marquenotebasdepage"/>
          <w:rFonts w:ascii="Times New Roman" w:hAnsi="Times New Roman" w:cs="Times New Roman"/>
        </w:rPr>
        <w:footnoteReference w:id="355"/>
      </w:r>
      <w:r>
        <w:rPr>
          <w:rFonts w:ascii="Times New Roman" w:hAnsi="Times New Roman" w:cs="Times New Roman"/>
          <w:i/>
        </w:rPr>
        <w:t>.</w:t>
      </w:r>
    </w:p>
    <w:p w14:paraId="2C78EE7F" w14:textId="77777777" w:rsidR="00C14253" w:rsidRDefault="00C14253" w:rsidP="00C14253"/>
    <w:p w14:paraId="366257FA" w14:textId="406F4B8F" w:rsidR="00C14253" w:rsidRPr="00C14253" w:rsidRDefault="00C14253" w:rsidP="00C14253">
      <w:pPr>
        <w:spacing w:line="360" w:lineRule="auto"/>
        <w:jc w:val="both"/>
        <w:rPr>
          <w:rFonts w:ascii="Times New Roman" w:hAnsi="Times New Roman"/>
        </w:rPr>
      </w:pPr>
      <w:r w:rsidRPr="00C14253">
        <w:rPr>
          <w:rFonts w:ascii="Times New Roman" w:hAnsi="Times New Roman"/>
        </w:rPr>
        <w:t>Le Groupe spécial a exclusivement abordé le caractère nécessaire de la mesure par rapport à l’existence d’autres mesures « compatible » ou « moins incompatible avec le GATT et qui permettent d’atteindre le même objectif</w:t>
      </w:r>
      <w:r w:rsidRPr="00C14253">
        <w:rPr>
          <w:rStyle w:val="Marquenotebasdepage"/>
          <w:rFonts w:ascii="Times New Roman" w:hAnsi="Times New Roman"/>
        </w:rPr>
        <w:footnoteReference w:id="356"/>
      </w:r>
      <w:r w:rsidRPr="00C14253">
        <w:rPr>
          <w:rFonts w:ascii="Times New Roman" w:hAnsi="Times New Roman"/>
        </w:rPr>
        <w:t>.  En effet, le Groupe spécial a également considéré que « trois éléments doivent être considérés par le Groupe spécial  dans son examen de la justification d’une mesure prise au titre  du § b) de l’article XX : (…) l’existence  d’autres mesures compatibles ou moins incompatibles avec le GATT 1994 et permettant d’atteindre le même objectif de protection de la santé publique »</w:t>
      </w:r>
      <w:r w:rsidRPr="00C14253">
        <w:rPr>
          <w:rStyle w:val="Marquenotebasdepage"/>
          <w:rFonts w:ascii="Times New Roman" w:hAnsi="Times New Roman"/>
        </w:rPr>
        <w:footnoteReference w:id="357"/>
      </w:r>
      <w:r w:rsidRPr="00C14253">
        <w:rPr>
          <w:rFonts w:ascii="Times New Roman" w:hAnsi="Times New Roman"/>
        </w:rPr>
        <w:t>. La CE, afin de prouver la bonne foi de la France dans l’adoption de la mesure incriminée avançait que les « mesures compatibles  ou moins incompatibles » qui peut lui être suggéré devaient être « techniquement et économiques faisables »</w:t>
      </w:r>
      <w:r>
        <w:rPr>
          <w:rStyle w:val="Marquenotebasdepage"/>
          <w:rFonts w:ascii="Times New Roman" w:hAnsi="Times New Roman"/>
        </w:rPr>
        <w:footnoteReference w:id="358"/>
      </w:r>
      <w:r w:rsidRPr="00C14253">
        <w:rPr>
          <w:rFonts w:ascii="Times New Roman" w:hAnsi="Times New Roman"/>
        </w:rPr>
        <w:t xml:space="preserve">. </w:t>
      </w:r>
    </w:p>
    <w:p w14:paraId="351BBDE9" w14:textId="77777777" w:rsidR="006E6962" w:rsidRDefault="006E6962" w:rsidP="00733BCD">
      <w:pPr>
        <w:spacing w:line="360" w:lineRule="auto"/>
        <w:jc w:val="both"/>
        <w:rPr>
          <w:rFonts w:ascii="Times New Roman" w:hAnsi="Times New Roman"/>
          <w:highlight w:val="lightGray"/>
        </w:rPr>
      </w:pPr>
    </w:p>
    <w:p w14:paraId="59A289A3" w14:textId="091158DB" w:rsidR="00A009A7" w:rsidRPr="00CF3282" w:rsidRDefault="00A009A7" w:rsidP="00CF3282">
      <w:pPr>
        <w:pStyle w:val="Paragraphedeliste"/>
        <w:numPr>
          <w:ilvl w:val="0"/>
          <w:numId w:val="8"/>
        </w:numPr>
        <w:spacing w:line="360" w:lineRule="auto"/>
        <w:jc w:val="both"/>
        <w:rPr>
          <w:rFonts w:ascii="Times New Roman" w:hAnsi="Times New Roman" w:cs="Times New Roman"/>
          <w:b/>
        </w:rPr>
      </w:pPr>
      <w:r w:rsidRPr="00CF3282">
        <w:rPr>
          <w:rFonts w:ascii="Times New Roman" w:hAnsi="Times New Roman" w:cs="Times New Roman"/>
          <w:b/>
        </w:rPr>
        <w:t xml:space="preserve">Application de l’article XX </w:t>
      </w:r>
      <w:r w:rsidRPr="00CF3282">
        <w:rPr>
          <w:rFonts w:ascii="Times New Roman" w:hAnsi="Times New Roman" w:cs="Times New Roman"/>
          <w:b/>
          <w:i/>
        </w:rPr>
        <w:t>b)</w:t>
      </w:r>
      <w:r w:rsidRPr="00CF3282">
        <w:rPr>
          <w:rFonts w:ascii="Times New Roman" w:hAnsi="Times New Roman" w:cs="Times New Roman"/>
          <w:b/>
        </w:rPr>
        <w:t xml:space="preserve"> dans la sphère de compétence du pays</w:t>
      </w:r>
    </w:p>
    <w:p w14:paraId="753FB80C" w14:textId="4EDDE57A" w:rsidR="00A009A7" w:rsidRDefault="00A009A7" w:rsidP="00A009A7">
      <w:pPr>
        <w:spacing w:line="360" w:lineRule="auto"/>
        <w:jc w:val="both"/>
        <w:rPr>
          <w:rFonts w:ascii="Times New Roman" w:hAnsi="Times New Roman" w:cs="Times New Roman"/>
        </w:rPr>
      </w:pPr>
      <w:r>
        <w:rPr>
          <w:rFonts w:ascii="Times New Roman" w:hAnsi="Times New Roman" w:cs="Times New Roman"/>
        </w:rPr>
        <w:t xml:space="preserve">Dans les affaires </w:t>
      </w:r>
      <w:r w:rsidRPr="004B4235">
        <w:rPr>
          <w:rFonts w:ascii="Times New Roman" w:hAnsi="Times New Roman" w:cs="Times New Roman"/>
          <w:i/>
        </w:rPr>
        <w:t>Thon I</w:t>
      </w:r>
      <w:r>
        <w:rPr>
          <w:rFonts w:ascii="Times New Roman" w:hAnsi="Times New Roman" w:cs="Times New Roman"/>
        </w:rPr>
        <w:t xml:space="preserve"> et </w:t>
      </w:r>
      <w:r w:rsidRPr="004B4235">
        <w:rPr>
          <w:rFonts w:ascii="Times New Roman" w:hAnsi="Times New Roman" w:cs="Times New Roman"/>
          <w:i/>
        </w:rPr>
        <w:t>Thon II</w:t>
      </w:r>
      <w:r>
        <w:rPr>
          <w:rFonts w:ascii="Times New Roman" w:hAnsi="Times New Roman" w:cs="Times New Roman"/>
        </w:rPr>
        <w:t xml:space="preserve">,  les Groupes spéciaux se sont penchés sur le point de savoir si l’article XX </w:t>
      </w:r>
      <w:r w:rsidRPr="00544281">
        <w:rPr>
          <w:rFonts w:ascii="Times New Roman" w:hAnsi="Times New Roman" w:cs="Times New Roman"/>
          <w:i/>
        </w:rPr>
        <w:t>b)</w:t>
      </w:r>
      <w:r>
        <w:rPr>
          <w:rFonts w:ascii="Times New Roman" w:hAnsi="Times New Roman" w:cs="Times New Roman"/>
        </w:rPr>
        <w:t xml:space="preserve"> pouvait être invoqué afin de protéger la vie ou la santé des animaux hors de la sphère de compétence du pays qui l’invoque. Dans ces deux rapports, qui n’ont pas été adoptés, les Groupes spéciaux ont suivi des raisonnements qui diffèrent quelque peu l’un de l’autre.</w:t>
      </w:r>
    </w:p>
    <w:p w14:paraId="57439437" w14:textId="2059A0DA" w:rsidR="00825BAD" w:rsidRPr="00E41A2D" w:rsidRDefault="00A009A7" w:rsidP="00E41A2D">
      <w:pPr>
        <w:pStyle w:val="Paragraphedeliste"/>
        <w:numPr>
          <w:ilvl w:val="0"/>
          <w:numId w:val="17"/>
        </w:numPr>
        <w:spacing w:line="360" w:lineRule="auto"/>
        <w:jc w:val="both"/>
        <w:rPr>
          <w:rFonts w:ascii="Times New Roman" w:hAnsi="Times New Roman" w:cs="Times New Roman"/>
          <w:b/>
        </w:rPr>
      </w:pPr>
      <w:r w:rsidRPr="00E41A2D">
        <w:rPr>
          <w:rFonts w:ascii="Times New Roman" w:hAnsi="Times New Roman" w:cs="Times New Roman"/>
          <w:b/>
        </w:rPr>
        <w:t>Historique de la négociation</w:t>
      </w:r>
    </w:p>
    <w:p w14:paraId="7681C2B1" w14:textId="0DF9F70F" w:rsidR="0047126E" w:rsidRDefault="0047126E" w:rsidP="00825BAD">
      <w:pPr>
        <w:spacing w:line="360" w:lineRule="auto"/>
        <w:jc w:val="both"/>
        <w:rPr>
          <w:rFonts w:ascii="Times New Roman" w:hAnsi="Times New Roman"/>
        </w:rPr>
      </w:pPr>
      <w:r w:rsidRPr="00825BAD">
        <w:rPr>
          <w:rFonts w:ascii="Times New Roman" w:hAnsi="Times New Roman"/>
        </w:rPr>
        <w:t xml:space="preserve">Dans l’affaire </w:t>
      </w:r>
      <w:r w:rsidRPr="00825BAD">
        <w:rPr>
          <w:rFonts w:ascii="Times New Roman" w:hAnsi="Times New Roman"/>
          <w:i/>
        </w:rPr>
        <w:t>Thon I</w:t>
      </w:r>
      <w:r w:rsidRPr="00825BAD">
        <w:rPr>
          <w:rFonts w:ascii="Times New Roman" w:hAnsi="Times New Roman"/>
        </w:rPr>
        <w:t>, le Groupe spécial a examiné les dispositions de la Loi sur la protection des mammifères marin</w:t>
      </w:r>
      <w:r w:rsidR="00D93103">
        <w:rPr>
          <w:rFonts w:ascii="Times New Roman" w:hAnsi="Times New Roman"/>
        </w:rPr>
        <w:t>s</w:t>
      </w:r>
      <w:r w:rsidRPr="00825BAD">
        <w:rPr>
          <w:rFonts w:ascii="Times New Roman" w:hAnsi="Times New Roman"/>
        </w:rPr>
        <w:t xml:space="preserve">  (MMPA) qui prohibe d’une part, les importations de certains thons à nageoires jaunes et produits dérivés, et d’autre part, l’importation appliquée au titre de ces dispositions</w:t>
      </w:r>
      <w:r w:rsidRPr="00E170A9">
        <w:rPr>
          <w:rStyle w:val="Marquenotebasdepage"/>
          <w:rFonts w:ascii="Times New Roman" w:hAnsi="Times New Roman"/>
        </w:rPr>
        <w:footnoteReference w:id="359"/>
      </w:r>
      <w:r w:rsidRPr="00825BAD">
        <w:rPr>
          <w:rFonts w:ascii="Times New Roman" w:hAnsi="Times New Roman"/>
        </w:rPr>
        <w:t xml:space="preserve">. Le Groupe spécial ayant constaté que le libellé de l’article XX </w:t>
      </w:r>
      <w:r w:rsidRPr="00825BAD">
        <w:rPr>
          <w:rFonts w:ascii="Times New Roman" w:hAnsi="Times New Roman"/>
          <w:i/>
        </w:rPr>
        <w:t>b)</w:t>
      </w:r>
      <w:r w:rsidRPr="00825BAD">
        <w:rPr>
          <w:rFonts w:ascii="Times New Roman" w:hAnsi="Times New Roman"/>
        </w:rPr>
        <w:t xml:space="preserve"> n’apportait pas d’éclaircissement quant au point de savoir si cette disposition s’appliquait aux mesures nécessaires à la protection de la santé et de la vie des animaux ou à la préservation des végétaux h</w:t>
      </w:r>
      <w:r w:rsidR="00CC38AD" w:rsidRPr="00825BAD">
        <w:rPr>
          <w:rFonts w:ascii="Times New Roman" w:hAnsi="Times New Roman"/>
        </w:rPr>
        <w:t xml:space="preserve">ors de la sphère de compétence </w:t>
      </w:r>
      <w:r w:rsidRPr="00310B7A">
        <w:rPr>
          <w:rFonts w:ascii="Times New Roman" w:hAnsi="Times New Roman"/>
        </w:rPr>
        <w:t>de la partie contractante qui</w:t>
      </w:r>
      <w:r w:rsidR="00310B7A" w:rsidRPr="00310B7A">
        <w:rPr>
          <w:rFonts w:ascii="Times New Roman" w:hAnsi="Times New Roman"/>
        </w:rPr>
        <w:t xml:space="preserve"> prenait les mesures en cause</w:t>
      </w:r>
      <w:r w:rsidRPr="002B73FE">
        <w:rPr>
          <w:rStyle w:val="Marquenotebasdepage"/>
          <w:rFonts w:ascii="Times New Roman" w:hAnsi="Times New Roman"/>
        </w:rPr>
        <w:footnoteReference w:id="360"/>
      </w:r>
      <w:r w:rsidRPr="002B73FE">
        <w:rPr>
          <w:rFonts w:ascii="Times New Roman" w:hAnsi="Times New Roman"/>
        </w:rPr>
        <w:t>, il s’est penché</w:t>
      </w:r>
      <w:r w:rsidRPr="00825BAD">
        <w:rPr>
          <w:rFonts w:ascii="Times New Roman" w:hAnsi="Times New Roman"/>
        </w:rPr>
        <w:t xml:space="preserve"> sur l’historique de la négociation de l’article XX </w:t>
      </w:r>
      <w:r w:rsidRPr="00825BAD">
        <w:rPr>
          <w:rFonts w:ascii="Times New Roman" w:hAnsi="Times New Roman"/>
          <w:i/>
        </w:rPr>
        <w:t>b)</w:t>
      </w:r>
      <w:r w:rsidRPr="00E170A9">
        <w:rPr>
          <w:rStyle w:val="Marquenotebasdepage"/>
          <w:rFonts w:ascii="Times New Roman" w:hAnsi="Times New Roman"/>
        </w:rPr>
        <w:footnoteReference w:id="361"/>
      </w:r>
      <w:r w:rsidRPr="00825BAD">
        <w:rPr>
          <w:rFonts w:ascii="Times New Roman" w:hAnsi="Times New Roman"/>
        </w:rPr>
        <w:t xml:space="preserve">. Etant donné que le texte de l’article XX </w:t>
      </w:r>
      <w:r w:rsidRPr="00825BAD">
        <w:rPr>
          <w:rFonts w:ascii="Times New Roman" w:hAnsi="Times New Roman"/>
          <w:i/>
        </w:rPr>
        <w:t>b)</w:t>
      </w:r>
      <w:r w:rsidRPr="00825BAD">
        <w:rPr>
          <w:rFonts w:ascii="Times New Roman" w:hAnsi="Times New Roman"/>
        </w:rPr>
        <w:t xml:space="preserve"> datait du projet de la Charte de l’</w:t>
      </w:r>
      <w:r w:rsidR="0054505C">
        <w:rPr>
          <w:rFonts w:ascii="Times New Roman" w:hAnsi="Times New Roman"/>
        </w:rPr>
        <w:t>Organisation internationale du c</w:t>
      </w:r>
      <w:r w:rsidRPr="00825BAD">
        <w:rPr>
          <w:rFonts w:ascii="Times New Roman" w:hAnsi="Times New Roman"/>
        </w:rPr>
        <w:t xml:space="preserve">ommerce (OIC) présenté par les Etats-Unis, dont l’article 32 était libellé ainsi : </w:t>
      </w:r>
      <w:r w:rsidRPr="00825BAD">
        <w:rPr>
          <w:rFonts w:ascii="Times New Roman" w:hAnsi="Times New Roman"/>
          <w:i/>
        </w:rPr>
        <w:t xml:space="preserve">« Aucune disposition du chapitre IV [concernant la politique commerciale] de la présente Charte ne sera interprétée comme empêchant l'adoption ou l'application par tout État membre de </w:t>
      </w:r>
      <w:r w:rsidR="00310B7A">
        <w:rPr>
          <w:rFonts w:ascii="Times New Roman" w:hAnsi="Times New Roman"/>
          <w:i/>
        </w:rPr>
        <w:t xml:space="preserve">mesures </w:t>
      </w:r>
      <w:r w:rsidRPr="00825BAD">
        <w:rPr>
          <w:rFonts w:ascii="Times New Roman" w:hAnsi="Times New Roman"/>
          <w:i/>
        </w:rPr>
        <w:t>... b) nécessaires à la protection de la vie ou de la santé des personnes ou des animaux ou à la préservation des végétaux »</w:t>
      </w:r>
      <w:r>
        <w:rPr>
          <w:rStyle w:val="Marquenotebasdepage"/>
          <w:rFonts w:ascii="Times New Roman" w:hAnsi="Times New Roman"/>
        </w:rPr>
        <w:footnoteReference w:id="362"/>
      </w:r>
      <w:r w:rsidRPr="00825BAD">
        <w:rPr>
          <w:rFonts w:ascii="Times New Roman" w:hAnsi="Times New Roman"/>
        </w:rPr>
        <w:t>. Il ressort de cette disposition que les préoccupati</w:t>
      </w:r>
      <w:r w:rsidR="00310B7A">
        <w:rPr>
          <w:rFonts w:ascii="Times New Roman" w:hAnsi="Times New Roman"/>
        </w:rPr>
        <w:t>ons des rédacteurs de l’article</w:t>
      </w:r>
      <w:r w:rsidRPr="00825BAD">
        <w:rPr>
          <w:rFonts w:ascii="Times New Roman" w:hAnsi="Times New Roman"/>
        </w:rPr>
        <w:t xml:space="preserve"> XX </w:t>
      </w:r>
      <w:r w:rsidRPr="00825BAD">
        <w:rPr>
          <w:rFonts w:ascii="Times New Roman" w:hAnsi="Times New Roman"/>
          <w:i/>
        </w:rPr>
        <w:t>b)</w:t>
      </w:r>
      <w:r w:rsidRPr="00825BAD">
        <w:rPr>
          <w:rFonts w:ascii="Times New Roman" w:hAnsi="Times New Roman"/>
        </w:rPr>
        <w:t xml:space="preserve"> étaient focalisées sur le </w:t>
      </w:r>
      <w:r w:rsidRPr="00825BAD">
        <w:rPr>
          <w:rFonts w:ascii="Times New Roman" w:hAnsi="Times New Roman"/>
          <w:i/>
        </w:rPr>
        <w:t>« recours aux mesures sanitaires afin de protéger la vie et la santé des personnes et des animaux ou préserver les végétaux dans la sphère de compétence du pays importateur »</w:t>
      </w:r>
      <w:r>
        <w:rPr>
          <w:rStyle w:val="Marquenotebasdepage"/>
          <w:rFonts w:ascii="Times New Roman" w:hAnsi="Times New Roman"/>
        </w:rPr>
        <w:footnoteReference w:id="363"/>
      </w:r>
      <w:r w:rsidRPr="00825BAD">
        <w:rPr>
          <w:rFonts w:ascii="Times New Roman" w:hAnsi="Times New Roman"/>
        </w:rPr>
        <w:t>.</w:t>
      </w:r>
    </w:p>
    <w:p w14:paraId="31601D4E" w14:textId="77777777" w:rsidR="00310B7A" w:rsidRPr="00825BAD" w:rsidRDefault="00310B7A" w:rsidP="00825BAD">
      <w:pPr>
        <w:spacing w:line="360" w:lineRule="auto"/>
        <w:jc w:val="both"/>
        <w:rPr>
          <w:rFonts w:ascii="Times New Roman" w:hAnsi="Times New Roman" w:cs="Times New Roman"/>
        </w:rPr>
      </w:pPr>
    </w:p>
    <w:p w14:paraId="6B16ED65" w14:textId="4A969FA1" w:rsidR="0047126E" w:rsidRDefault="0047126E" w:rsidP="0047126E">
      <w:pPr>
        <w:spacing w:line="360" w:lineRule="auto"/>
        <w:jc w:val="both"/>
        <w:rPr>
          <w:rFonts w:ascii="Times New Roman" w:hAnsi="Times New Roman" w:cs="Times New Roman"/>
        </w:rPr>
      </w:pPr>
      <w:r w:rsidRPr="008527B4">
        <w:rPr>
          <w:rFonts w:ascii="Times New Roman" w:hAnsi="Times New Roman" w:cs="Times New Roman"/>
        </w:rPr>
        <w:t xml:space="preserve">Dans l’affaire </w:t>
      </w:r>
      <w:r w:rsidRPr="008527B4">
        <w:rPr>
          <w:rFonts w:ascii="Times New Roman" w:hAnsi="Times New Roman" w:cs="Times New Roman"/>
          <w:i/>
        </w:rPr>
        <w:t>Thon II</w:t>
      </w:r>
      <w:r w:rsidRPr="008527B4">
        <w:rPr>
          <w:rFonts w:ascii="Times New Roman" w:hAnsi="Times New Roman" w:cs="Times New Roman"/>
        </w:rPr>
        <w:t xml:space="preserve">, le Groupe spécial a noté que </w:t>
      </w:r>
      <w:r w:rsidRPr="006571F8">
        <w:rPr>
          <w:rFonts w:ascii="Times New Roman" w:hAnsi="Times New Roman" w:cs="Times New Roman"/>
          <w:i/>
        </w:rPr>
        <w:t>« le texte de l’article XX b) ne prévoyait aucune limitation quant à l’emplacement des organismes vivants qui devaient être protégés »</w:t>
      </w:r>
      <w:r w:rsidRPr="008527B4">
        <w:rPr>
          <w:rStyle w:val="Marquenotebasdepage"/>
          <w:rFonts w:ascii="Times New Roman" w:hAnsi="Times New Roman" w:cs="Times New Roman"/>
        </w:rPr>
        <w:footnoteReference w:id="364"/>
      </w:r>
      <w:r w:rsidRPr="008527B4">
        <w:rPr>
          <w:rFonts w:ascii="Times New Roman" w:hAnsi="Times New Roman" w:cs="Times New Roman"/>
        </w:rPr>
        <w:t xml:space="preserve"> et a également considéré que les observations formulées concernant l</w:t>
      </w:r>
      <w:r w:rsidR="00CC38AD">
        <w:rPr>
          <w:rFonts w:ascii="Times New Roman" w:hAnsi="Times New Roman" w:cs="Times New Roman"/>
        </w:rPr>
        <w:t>a sphère de compétence pour l’</w:t>
      </w:r>
      <w:r w:rsidRPr="008527B4">
        <w:rPr>
          <w:rFonts w:ascii="Times New Roman" w:hAnsi="Times New Roman" w:cs="Times New Roman"/>
        </w:rPr>
        <w:t xml:space="preserve">application de l’article XX </w:t>
      </w:r>
      <w:r w:rsidRPr="00CC38AD">
        <w:rPr>
          <w:rFonts w:ascii="Times New Roman" w:hAnsi="Times New Roman" w:cs="Times New Roman"/>
          <w:i/>
        </w:rPr>
        <w:t>g)</w:t>
      </w:r>
      <w:r w:rsidRPr="008527B4">
        <w:rPr>
          <w:rFonts w:ascii="Times New Roman" w:hAnsi="Times New Roman" w:cs="Times New Roman"/>
        </w:rPr>
        <w:t xml:space="preserve"> étai</w:t>
      </w:r>
      <w:r w:rsidR="00310B7A">
        <w:rPr>
          <w:rFonts w:ascii="Times New Roman" w:hAnsi="Times New Roman" w:cs="Times New Roman"/>
        </w:rPr>
        <w:t>en</w:t>
      </w:r>
      <w:r w:rsidRPr="008527B4">
        <w:rPr>
          <w:rFonts w:ascii="Times New Roman" w:hAnsi="Times New Roman" w:cs="Times New Roman"/>
        </w:rPr>
        <w:t xml:space="preserve">t également valables pour l’application de l’article XX </w:t>
      </w:r>
      <w:r w:rsidRPr="00995BF9">
        <w:rPr>
          <w:rFonts w:ascii="Times New Roman" w:hAnsi="Times New Roman" w:cs="Times New Roman"/>
          <w:i/>
        </w:rPr>
        <w:t>b)</w:t>
      </w:r>
      <w:r w:rsidRPr="008527B4">
        <w:rPr>
          <w:rStyle w:val="Marquenotebasdepage"/>
          <w:rFonts w:ascii="Times New Roman" w:hAnsi="Times New Roman" w:cs="Times New Roman"/>
        </w:rPr>
        <w:footnoteReference w:id="365"/>
      </w:r>
      <w:r w:rsidRPr="008527B4">
        <w:rPr>
          <w:rFonts w:ascii="Times New Roman" w:hAnsi="Times New Roman" w:cs="Times New Roman"/>
        </w:rPr>
        <w:t xml:space="preserve">. Le Groupe spécial de </w:t>
      </w:r>
      <w:r w:rsidRPr="00995BF9">
        <w:rPr>
          <w:rFonts w:ascii="Times New Roman" w:hAnsi="Times New Roman" w:cs="Times New Roman"/>
          <w:i/>
        </w:rPr>
        <w:t>Thon II</w:t>
      </w:r>
      <w:r w:rsidRPr="008527B4">
        <w:rPr>
          <w:rFonts w:ascii="Times New Roman" w:hAnsi="Times New Roman" w:cs="Times New Roman"/>
        </w:rPr>
        <w:t xml:space="preserve"> n’est pas arrivé à la même conclusion que celui de </w:t>
      </w:r>
      <w:r w:rsidRPr="00995BF9">
        <w:rPr>
          <w:rFonts w:ascii="Times New Roman" w:hAnsi="Times New Roman" w:cs="Times New Roman"/>
          <w:i/>
        </w:rPr>
        <w:t>Thon I</w:t>
      </w:r>
      <w:r w:rsidRPr="008527B4">
        <w:rPr>
          <w:rFonts w:ascii="Times New Roman" w:hAnsi="Times New Roman" w:cs="Times New Roman"/>
        </w:rPr>
        <w:t xml:space="preserve"> en ce qui concerne l’historique de la négociation de l’article XX </w:t>
      </w:r>
      <w:r w:rsidRPr="006571F8">
        <w:rPr>
          <w:rFonts w:ascii="Times New Roman" w:hAnsi="Times New Roman" w:cs="Times New Roman"/>
          <w:i/>
        </w:rPr>
        <w:t>b)</w:t>
      </w:r>
      <w:r w:rsidR="00D54534">
        <w:rPr>
          <w:rStyle w:val="Marquenotebasdepage"/>
          <w:rFonts w:ascii="Times New Roman" w:hAnsi="Times New Roman" w:cs="Times New Roman"/>
          <w:i/>
        </w:rPr>
        <w:footnoteReference w:id="366"/>
      </w:r>
      <w:r w:rsidRPr="008527B4">
        <w:rPr>
          <w:rFonts w:ascii="Times New Roman" w:hAnsi="Times New Roman" w:cs="Times New Roman"/>
        </w:rPr>
        <w:t xml:space="preserve">. </w:t>
      </w:r>
      <w:r>
        <w:rPr>
          <w:rFonts w:ascii="Times New Roman" w:hAnsi="Times New Roman" w:cs="Times New Roman"/>
        </w:rPr>
        <w:t xml:space="preserve">En effet, il a constaté que durant la négociation de la Charte de la Havane et de l’Accord général, aucun élément issu des déclarations et des modification apportées au texte ne tendait à corroborer les allégations des parties en ce qui concerne la question de l’emplacement de l’organisme vivant à protéger au regard de l’article XX </w:t>
      </w:r>
      <w:r w:rsidRPr="001B21C5">
        <w:rPr>
          <w:rFonts w:ascii="Times New Roman" w:hAnsi="Times New Roman" w:cs="Times New Roman"/>
          <w:i/>
        </w:rPr>
        <w:t>b)</w:t>
      </w:r>
      <w:r>
        <w:rPr>
          <w:rFonts w:ascii="Times New Roman" w:hAnsi="Times New Roman" w:cs="Times New Roman"/>
        </w:rPr>
        <w:t>. Alors que les parties se demandai</w:t>
      </w:r>
      <w:r w:rsidR="00877501">
        <w:rPr>
          <w:rFonts w:ascii="Times New Roman" w:hAnsi="Times New Roman" w:cs="Times New Roman"/>
        </w:rPr>
        <w:t>en</w:t>
      </w:r>
      <w:r>
        <w:rPr>
          <w:rFonts w:ascii="Times New Roman" w:hAnsi="Times New Roman" w:cs="Times New Roman"/>
        </w:rPr>
        <w:t>t si les rédacteurs avaient eu l’intention de limiter les mesures justifiables au titre de l’article XX aux mesures sanitaires, le Groupe a énoncé qu’i</w:t>
      </w:r>
      <w:r w:rsidR="00310B7A">
        <w:rPr>
          <w:rFonts w:ascii="Times New Roman" w:hAnsi="Times New Roman" w:cs="Times New Roman"/>
        </w:rPr>
        <w:t xml:space="preserve">l ne voyait pas la nécessité </w:t>
      </w:r>
      <w:r w:rsidR="00310B7A" w:rsidRPr="00310B7A">
        <w:rPr>
          <w:rFonts w:ascii="Times New Roman" w:hAnsi="Times New Roman" w:cs="Times New Roman"/>
        </w:rPr>
        <w:t>de répondre</w:t>
      </w:r>
      <w:r w:rsidRPr="00310B7A">
        <w:rPr>
          <w:rFonts w:ascii="Times New Roman" w:hAnsi="Times New Roman" w:cs="Times New Roman"/>
        </w:rPr>
        <w:t xml:space="preserve"> à</w:t>
      </w:r>
      <w:r>
        <w:rPr>
          <w:rFonts w:ascii="Times New Roman" w:hAnsi="Times New Roman" w:cs="Times New Roman"/>
        </w:rPr>
        <w:t xml:space="preserve"> une telle question. Par conséquent, le Groupe spécial a conclu que la politique qui consistait à assurer la protection de la vie et de la santé des dauphins dans la zone tropicale</w:t>
      </w:r>
      <w:r w:rsidR="00877501">
        <w:rPr>
          <w:rFonts w:ascii="Times New Roman" w:hAnsi="Times New Roman" w:cs="Times New Roman"/>
        </w:rPr>
        <w:t xml:space="preserve"> orientale de l’Océan Pacifique </w:t>
      </w:r>
      <w:r w:rsidRPr="00162442">
        <w:rPr>
          <w:rFonts w:ascii="Times New Roman" w:hAnsi="Times New Roman" w:cs="Times New Roman"/>
          <w:i/>
        </w:rPr>
        <w:t>« que les États-Unis appliquaient dans leur sphère de compétence à leurs ressortissants et à leurs navires, entrait dans la catégorie des politiques visées par l'article XX b) »</w:t>
      </w:r>
      <w:r w:rsidRPr="008527B4">
        <w:rPr>
          <w:rStyle w:val="Marquenotebasdepage"/>
          <w:rFonts w:ascii="Times New Roman" w:hAnsi="Times New Roman" w:cs="Times New Roman"/>
        </w:rPr>
        <w:footnoteReference w:id="367"/>
      </w:r>
      <w:r w:rsidRPr="008527B4">
        <w:rPr>
          <w:rFonts w:ascii="Times New Roman" w:hAnsi="Times New Roman" w:cs="Times New Roman"/>
        </w:rPr>
        <w:t>.</w:t>
      </w:r>
    </w:p>
    <w:p w14:paraId="17942B40" w14:textId="77777777" w:rsidR="0047126E" w:rsidRPr="0047126E" w:rsidRDefault="0047126E" w:rsidP="0047126E">
      <w:pPr>
        <w:spacing w:line="360" w:lineRule="auto"/>
        <w:jc w:val="both"/>
        <w:rPr>
          <w:rFonts w:ascii="Times New Roman" w:hAnsi="Times New Roman" w:cs="Times New Roman"/>
        </w:rPr>
      </w:pPr>
    </w:p>
    <w:p w14:paraId="152B7B44" w14:textId="342C32F3" w:rsidR="005A5AC9" w:rsidRPr="00E41A2D" w:rsidRDefault="005A5AC9" w:rsidP="00E41A2D">
      <w:pPr>
        <w:pStyle w:val="Paragraphedeliste"/>
        <w:numPr>
          <w:ilvl w:val="0"/>
          <w:numId w:val="17"/>
        </w:numPr>
        <w:spacing w:line="360" w:lineRule="auto"/>
        <w:jc w:val="both"/>
        <w:rPr>
          <w:rFonts w:ascii="Times New Roman" w:hAnsi="Times New Roman" w:cs="Times New Roman"/>
          <w:b/>
        </w:rPr>
      </w:pPr>
      <w:r w:rsidRPr="00E41A2D">
        <w:rPr>
          <w:rFonts w:ascii="Times New Roman" w:hAnsi="Times New Roman" w:cs="Times New Roman"/>
          <w:b/>
        </w:rPr>
        <w:t xml:space="preserve">Concept de la nécessité et application de l’article XX </w:t>
      </w:r>
      <w:r w:rsidRPr="00E41A2D">
        <w:rPr>
          <w:rFonts w:ascii="Times New Roman" w:hAnsi="Times New Roman" w:cs="Times New Roman"/>
          <w:b/>
          <w:i/>
        </w:rPr>
        <w:t>b)</w:t>
      </w:r>
      <w:r w:rsidRPr="00E41A2D">
        <w:rPr>
          <w:rFonts w:ascii="Times New Roman" w:hAnsi="Times New Roman" w:cs="Times New Roman"/>
          <w:b/>
        </w:rPr>
        <w:t xml:space="preserve"> hors de la sphère de compétence du pays</w:t>
      </w:r>
    </w:p>
    <w:p w14:paraId="4024914E" w14:textId="02625054" w:rsidR="005A5AC9" w:rsidRDefault="005A5AC9" w:rsidP="005A5AC9">
      <w:pPr>
        <w:spacing w:line="360" w:lineRule="auto"/>
        <w:jc w:val="both"/>
        <w:rPr>
          <w:rFonts w:ascii="Times New Roman" w:hAnsi="Times New Roman" w:cs="Times New Roman"/>
        </w:rPr>
      </w:pPr>
      <w:r>
        <w:rPr>
          <w:rFonts w:ascii="Times New Roman" w:hAnsi="Times New Roman" w:cs="Times New Roman"/>
        </w:rPr>
        <w:t xml:space="preserve">Dans l’affaire </w:t>
      </w:r>
      <w:r w:rsidRPr="00376A03">
        <w:rPr>
          <w:rFonts w:ascii="Times New Roman" w:hAnsi="Times New Roman" w:cs="Times New Roman"/>
          <w:i/>
        </w:rPr>
        <w:t>Thon I</w:t>
      </w:r>
      <w:r>
        <w:rPr>
          <w:rFonts w:ascii="Times New Roman" w:hAnsi="Times New Roman" w:cs="Times New Roman"/>
        </w:rPr>
        <w:t xml:space="preserve">, le Groupe spécial a énoncé que l’article XX </w:t>
      </w:r>
      <w:r w:rsidRPr="00544281">
        <w:rPr>
          <w:rFonts w:ascii="Times New Roman" w:hAnsi="Times New Roman" w:cs="Times New Roman"/>
          <w:i/>
        </w:rPr>
        <w:t>b)</w:t>
      </w:r>
      <w:r>
        <w:rPr>
          <w:rFonts w:ascii="Times New Roman" w:hAnsi="Times New Roman" w:cs="Times New Roman"/>
        </w:rPr>
        <w:t xml:space="preserve"> autorisait les parties contractantes à fixer leurs propres normes en ce qui concerne la vie et la santé des personnes et des animaux ou la préservation des végétaux. </w:t>
      </w:r>
      <w:r w:rsidR="00203891">
        <w:rPr>
          <w:rFonts w:ascii="Times New Roman" w:hAnsi="Times New Roman" w:cs="Times New Roman"/>
        </w:rPr>
        <w:t>De plus, il a</w:t>
      </w:r>
      <w:r>
        <w:rPr>
          <w:rFonts w:ascii="Times New Roman" w:hAnsi="Times New Roman" w:cs="Times New Roman"/>
        </w:rPr>
        <w:t xml:space="preserve"> rappelé une constatation faite dans l’arrêt </w:t>
      </w:r>
      <w:r w:rsidRPr="003362E6">
        <w:rPr>
          <w:rFonts w:ascii="Times New Roman" w:hAnsi="Times New Roman" w:cs="Times New Roman"/>
          <w:i/>
        </w:rPr>
        <w:t>Cigarettes</w:t>
      </w:r>
      <w:r w:rsidR="00877501">
        <w:rPr>
          <w:rFonts w:ascii="Times New Roman" w:hAnsi="Times New Roman" w:cs="Times New Roman"/>
        </w:rPr>
        <w:t>,</w:t>
      </w:r>
      <w:r>
        <w:rPr>
          <w:rFonts w:ascii="Times New Roman" w:hAnsi="Times New Roman" w:cs="Times New Roman"/>
        </w:rPr>
        <w:t xml:space="preserve"> à savoir que cet alinéa de l’article XX </w:t>
      </w:r>
      <w:r w:rsidRPr="00544281">
        <w:rPr>
          <w:rFonts w:ascii="Times New Roman" w:hAnsi="Times New Roman" w:cs="Times New Roman"/>
          <w:i/>
        </w:rPr>
        <w:t>b)</w:t>
      </w:r>
      <w:r>
        <w:rPr>
          <w:rFonts w:ascii="Times New Roman" w:hAnsi="Times New Roman" w:cs="Times New Roman"/>
        </w:rPr>
        <w:t xml:space="preserve"> devait permettre d’imposer des mesures de restrictions des échanges incompatibles avec l’Accord général afin de </w:t>
      </w:r>
      <w:r w:rsidRPr="00162442">
        <w:rPr>
          <w:rFonts w:ascii="Times New Roman" w:hAnsi="Times New Roman" w:cs="Times New Roman"/>
          <w:i/>
        </w:rPr>
        <w:t>« poursuivre des objectifs supérieurs de l’action gouvernementale pour autant que ces incompatibilités soient inévitables »</w:t>
      </w:r>
      <w:r>
        <w:rPr>
          <w:rStyle w:val="Marquenotebasdepage"/>
          <w:rFonts w:ascii="Times New Roman" w:hAnsi="Times New Roman" w:cs="Times New Roman"/>
        </w:rPr>
        <w:footnoteReference w:id="368"/>
      </w:r>
      <w:r>
        <w:rPr>
          <w:rFonts w:ascii="Times New Roman" w:hAnsi="Times New Roman" w:cs="Times New Roman"/>
        </w:rPr>
        <w:t xml:space="preserve">. Il a estimé que si l’interprétation large qui était suggérée par les Etats-Unis était acceptée, cela laissait la possibilité à chaque partie contractante de </w:t>
      </w:r>
      <w:r w:rsidRPr="001F7B64">
        <w:rPr>
          <w:rFonts w:ascii="Times New Roman" w:hAnsi="Times New Roman" w:cs="Times New Roman"/>
          <w:i/>
        </w:rPr>
        <w:t>« déterminer unilatéralement les politiques de protection de la vie et de la santé dont les autres parties contractantes ne pourraient pas s’écarter sans compromettre les droits qu’elles tenaient de l’Accord général »</w:t>
      </w:r>
      <w:r>
        <w:rPr>
          <w:rStyle w:val="Marquenotebasdepage"/>
          <w:rFonts w:ascii="Times New Roman" w:hAnsi="Times New Roman" w:cs="Times New Roman"/>
        </w:rPr>
        <w:footnoteReference w:id="369"/>
      </w:r>
      <w:r>
        <w:rPr>
          <w:rFonts w:ascii="Times New Roman" w:hAnsi="Times New Roman" w:cs="Times New Roman"/>
        </w:rPr>
        <w:t>. Il en résulterait que l’Accord général ne constituerait plus un « cadre multilatéral régissant le commerce entre toutes les parties contractantes » et l</w:t>
      </w:r>
      <w:r w:rsidR="008C3E7A">
        <w:rPr>
          <w:rFonts w:ascii="Times New Roman" w:hAnsi="Times New Roman" w:cs="Times New Roman"/>
        </w:rPr>
        <w:t xml:space="preserve">a </w:t>
      </w:r>
      <w:r w:rsidR="008C3E7A" w:rsidRPr="00203891">
        <w:rPr>
          <w:rFonts w:ascii="Times New Roman" w:hAnsi="Times New Roman" w:cs="Times New Roman"/>
        </w:rPr>
        <w:t>sécurité juridique serait assurée</w:t>
      </w:r>
      <w:r w:rsidRPr="00203891">
        <w:rPr>
          <w:rFonts w:ascii="Times New Roman" w:hAnsi="Times New Roman" w:cs="Times New Roman"/>
        </w:rPr>
        <w:t xml:space="preserve"> </w:t>
      </w:r>
      <w:r w:rsidR="00336DE2" w:rsidRPr="00203891">
        <w:rPr>
          <w:rFonts w:ascii="Times New Roman" w:hAnsi="Times New Roman" w:cs="Times New Roman"/>
        </w:rPr>
        <w:t xml:space="preserve"> uniquement</w:t>
      </w:r>
      <w:r w:rsidR="00310B7A">
        <w:rPr>
          <w:rFonts w:ascii="Times New Roman" w:hAnsi="Times New Roman" w:cs="Times New Roman"/>
        </w:rPr>
        <w:t xml:space="preserve"> </w:t>
      </w:r>
      <w:r w:rsidRPr="00310B7A">
        <w:rPr>
          <w:rFonts w:ascii="Times New Roman" w:hAnsi="Times New Roman" w:cs="Times New Roman"/>
        </w:rPr>
        <w:t>pour les échanges entre un nombre limité de parties contractantes ayant des réglementations intérieures identiques</w:t>
      </w:r>
      <w:r w:rsidR="00310B7A">
        <w:rPr>
          <w:rStyle w:val="Marquenotebasdepage"/>
          <w:rFonts w:ascii="Times New Roman" w:hAnsi="Times New Roman" w:cs="Times New Roman"/>
        </w:rPr>
        <w:footnoteReference w:id="370"/>
      </w:r>
      <w:r w:rsidR="00310B7A">
        <w:rPr>
          <w:rFonts w:ascii="Times New Roman" w:hAnsi="Times New Roman" w:cs="Times New Roman"/>
        </w:rPr>
        <w:t>.</w:t>
      </w:r>
    </w:p>
    <w:p w14:paraId="55E7409D" w14:textId="77777777" w:rsidR="005A5AC9" w:rsidRDefault="005A5AC9" w:rsidP="005A5AC9">
      <w:pPr>
        <w:spacing w:line="360" w:lineRule="auto"/>
        <w:jc w:val="both"/>
        <w:rPr>
          <w:rFonts w:ascii="Times New Roman" w:hAnsi="Times New Roman" w:cs="Times New Roman"/>
        </w:rPr>
      </w:pPr>
    </w:p>
    <w:p w14:paraId="409575EE" w14:textId="71F859B2" w:rsidR="005A5AC9" w:rsidRDefault="005A5AC9" w:rsidP="005A5AC9">
      <w:pPr>
        <w:widowControl w:val="0"/>
        <w:autoSpaceDE w:val="0"/>
        <w:autoSpaceDN w:val="0"/>
        <w:adjustRightInd w:val="0"/>
        <w:spacing w:after="240" w:line="360" w:lineRule="auto"/>
        <w:jc w:val="both"/>
        <w:rPr>
          <w:rFonts w:ascii="Times New Roman" w:hAnsi="Times New Roman" w:cs="Times New Roman"/>
        </w:rPr>
      </w:pPr>
      <w:r w:rsidRPr="00533978">
        <w:rPr>
          <w:rFonts w:ascii="Times New Roman" w:hAnsi="Times New Roman" w:cs="Times New Roman"/>
        </w:rPr>
        <w:t xml:space="preserve">Dans l’affaire </w:t>
      </w:r>
      <w:r w:rsidRPr="00861C67">
        <w:rPr>
          <w:rFonts w:ascii="Times New Roman" w:hAnsi="Times New Roman" w:cs="Times New Roman"/>
          <w:i/>
        </w:rPr>
        <w:t>Thon II</w:t>
      </w:r>
      <w:r w:rsidRPr="00533978">
        <w:rPr>
          <w:rFonts w:ascii="Times New Roman" w:hAnsi="Times New Roman" w:cs="Times New Roman"/>
        </w:rPr>
        <w:t>, le Groupe spécial a considéré que l’embargo de la nation première et celui de la nation intermédiaire n’étaient pas en mesure de favo</w:t>
      </w:r>
      <w:r>
        <w:rPr>
          <w:rFonts w:ascii="Times New Roman" w:hAnsi="Times New Roman" w:cs="Times New Roman"/>
        </w:rPr>
        <w:t xml:space="preserve">riser à eux </w:t>
      </w:r>
      <w:r w:rsidRPr="00877501">
        <w:rPr>
          <w:rFonts w:ascii="Times New Roman" w:hAnsi="Times New Roman" w:cs="Times New Roman"/>
        </w:rPr>
        <w:t>seuls l’objectif  des</w:t>
      </w:r>
      <w:r w:rsidRPr="00533978">
        <w:rPr>
          <w:rFonts w:ascii="Times New Roman" w:hAnsi="Times New Roman" w:cs="Times New Roman"/>
        </w:rPr>
        <w:t xml:space="preserve"> Etats-Unis en matière de protection de la vie et de la santé des dauphins</w:t>
      </w:r>
      <w:r>
        <w:rPr>
          <w:rStyle w:val="Marquenotebasdepage"/>
          <w:rFonts w:ascii="Times New Roman" w:hAnsi="Times New Roman" w:cs="Times New Roman"/>
        </w:rPr>
        <w:footnoteReference w:id="371"/>
      </w:r>
      <w:r w:rsidRPr="00533978">
        <w:rPr>
          <w:rFonts w:ascii="Times New Roman" w:hAnsi="Times New Roman" w:cs="Times New Roman"/>
        </w:rPr>
        <w:t>.  En effet, pour que ces mesures aient l’effet escompté, les pays exportateurs devaient modifier leurs politiques et leurs méthodes</w:t>
      </w:r>
      <w:r w:rsidRPr="00533978">
        <w:rPr>
          <w:rStyle w:val="Marquenotebasdepage"/>
          <w:rFonts w:ascii="Times New Roman" w:hAnsi="Times New Roman" w:cs="Times New Roman"/>
        </w:rPr>
        <w:footnoteReference w:id="372"/>
      </w:r>
      <w:r w:rsidRPr="00533978">
        <w:rPr>
          <w:rFonts w:ascii="Times New Roman" w:hAnsi="Times New Roman" w:cs="Times New Roman"/>
        </w:rPr>
        <w:t xml:space="preserve">. </w:t>
      </w:r>
    </w:p>
    <w:p w14:paraId="40DA03E0" w14:textId="5A195848" w:rsidR="005A5AC9" w:rsidRDefault="005A5AC9" w:rsidP="005A5AC9">
      <w:pPr>
        <w:widowControl w:val="0"/>
        <w:autoSpaceDE w:val="0"/>
        <w:autoSpaceDN w:val="0"/>
        <w:adjustRightInd w:val="0"/>
        <w:spacing w:after="240" w:line="360" w:lineRule="auto"/>
        <w:jc w:val="both"/>
        <w:rPr>
          <w:rFonts w:ascii="Times New Roman" w:hAnsi="Times New Roman" w:cs="Times New Roman"/>
        </w:rPr>
      </w:pPr>
      <w:r w:rsidRPr="00533978">
        <w:rPr>
          <w:rFonts w:ascii="Times New Roman" w:hAnsi="Times New Roman" w:cs="Times New Roman"/>
        </w:rPr>
        <w:t>Le Gro</w:t>
      </w:r>
      <w:r>
        <w:rPr>
          <w:rFonts w:ascii="Times New Roman" w:hAnsi="Times New Roman" w:cs="Times New Roman"/>
        </w:rPr>
        <w:t xml:space="preserve">upe spécial s’est ainsi demandé s’il était possible d’inclure à des mesures </w:t>
      </w:r>
      <w:r w:rsidRPr="00533978">
        <w:rPr>
          <w:rFonts w:ascii="Times New Roman" w:hAnsi="Times New Roman" w:cs="Times New Roman"/>
        </w:rPr>
        <w:t>nécessaires à la protection de la</w:t>
      </w:r>
      <w:r>
        <w:rPr>
          <w:rFonts w:ascii="Times New Roman" w:hAnsi="Times New Roman" w:cs="Times New Roman"/>
        </w:rPr>
        <w:t xml:space="preserve"> vie et de la santé des animaux des mesures prises dans le but de</w:t>
      </w:r>
      <w:r w:rsidRPr="00533978">
        <w:rPr>
          <w:rFonts w:ascii="Times New Roman" w:hAnsi="Times New Roman" w:cs="Times New Roman"/>
        </w:rPr>
        <w:t xml:space="preserve"> contraindre d’autres pays à modifier leurs politiques dans leur propre sphère de com</w:t>
      </w:r>
      <w:r>
        <w:rPr>
          <w:rFonts w:ascii="Times New Roman" w:hAnsi="Times New Roman" w:cs="Times New Roman"/>
        </w:rPr>
        <w:t>pétence, et qui n’ont d’</w:t>
      </w:r>
      <w:r w:rsidRPr="00533978">
        <w:rPr>
          <w:rFonts w:ascii="Times New Roman" w:hAnsi="Times New Roman" w:cs="Times New Roman"/>
        </w:rPr>
        <w:t>effet que si de telles m</w:t>
      </w:r>
      <w:r>
        <w:rPr>
          <w:rFonts w:ascii="Times New Roman" w:hAnsi="Times New Roman" w:cs="Times New Roman"/>
        </w:rPr>
        <w:t>odifications étaient effectuées</w:t>
      </w:r>
      <w:r w:rsidRPr="00533978">
        <w:rPr>
          <w:rStyle w:val="Marquenotebasdepage"/>
          <w:rFonts w:ascii="Times New Roman" w:hAnsi="Times New Roman" w:cs="Times New Roman"/>
        </w:rPr>
        <w:footnoteReference w:id="373"/>
      </w:r>
      <w:r w:rsidRPr="00533978">
        <w:rPr>
          <w:rFonts w:ascii="Times New Roman" w:hAnsi="Times New Roman" w:cs="Times New Roman"/>
        </w:rPr>
        <w:t xml:space="preserve">. </w:t>
      </w:r>
      <w:r w:rsidRPr="00310B7A">
        <w:rPr>
          <w:rFonts w:ascii="Times New Roman" w:hAnsi="Times New Roman" w:cs="Times New Roman"/>
          <w:highlight w:val="lightGray"/>
        </w:rPr>
        <w:t xml:space="preserve">Le Groupe spécial a conclu que les mesures prises afin de contraindre d’autres pays à modifier leurs politiques et qui ont de l’effet </w:t>
      </w:r>
      <w:r w:rsidR="00336DE2" w:rsidRPr="00310B7A">
        <w:rPr>
          <w:rFonts w:ascii="Times New Roman" w:hAnsi="Times New Roman" w:cs="Times New Roman"/>
          <w:highlight w:val="lightGray"/>
        </w:rPr>
        <w:t xml:space="preserve">uniquement </w:t>
      </w:r>
      <w:r w:rsidRPr="00310B7A">
        <w:rPr>
          <w:rFonts w:ascii="Times New Roman" w:hAnsi="Times New Roman" w:cs="Times New Roman"/>
          <w:highlight w:val="lightGray"/>
        </w:rPr>
        <w:t xml:space="preserve">si les modifications sont effectuées ne pouvaient pas être considérées comme « nécessaires » au titre de l’article XX </w:t>
      </w:r>
      <w:r w:rsidRPr="00310B7A">
        <w:rPr>
          <w:rFonts w:ascii="Times New Roman" w:hAnsi="Times New Roman" w:cs="Times New Roman"/>
          <w:i/>
          <w:highlight w:val="lightGray"/>
        </w:rPr>
        <w:t>b)</w:t>
      </w:r>
      <w:r w:rsidRPr="00310B7A">
        <w:rPr>
          <w:rStyle w:val="Marquenotebasdepage"/>
          <w:rFonts w:ascii="Times New Roman" w:hAnsi="Times New Roman" w:cs="Times New Roman"/>
          <w:highlight w:val="lightGray"/>
        </w:rPr>
        <w:footnoteReference w:id="374"/>
      </w:r>
      <w:r w:rsidRPr="00310B7A">
        <w:rPr>
          <w:rFonts w:ascii="Times New Roman" w:hAnsi="Times New Roman" w:cs="Times New Roman"/>
          <w:highlight w:val="lightGray"/>
        </w:rPr>
        <w:t>.</w:t>
      </w:r>
      <w:r w:rsidRPr="00533978">
        <w:rPr>
          <w:rFonts w:ascii="Times New Roman" w:hAnsi="Times New Roman" w:cs="Times New Roman"/>
        </w:rPr>
        <w:t xml:space="preserve"> </w:t>
      </w:r>
    </w:p>
    <w:p w14:paraId="7D25B368" w14:textId="55899C21" w:rsidR="005A5AC9" w:rsidRPr="00310B7A" w:rsidRDefault="005A5AC9" w:rsidP="005A5AC9">
      <w:pPr>
        <w:widowControl w:val="0"/>
        <w:autoSpaceDE w:val="0"/>
        <w:autoSpaceDN w:val="0"/>
        <w:adjustRightInd w:val="0"/>
        <w:spacing w:after="240" w:line="360" w:lineRule="auto"/>
        <w:jc w:val="both"/>
        <w:rPr>
          <w:rFonts w:ascii="Times New Roman" w:hAnsi="Times New Roman" w:cs="Times New Roman"/>
        </w:rPr>
      </w:pPr>
      <w:r w:rsidRPr="00310B7A">
        <w:rPr>
          <w:rFonts w:ascii="Times New Roman" w:hAnsi="Times New Roman" w:cs="Times New Roman"/>
        </w:rPr>
        <w:t xml:space="preserve">Afin de justifier sa conclusion, le Groupe spécial a énoncé </w:t>
      </w:r>
      <w:r w:rsidR="00336DE2" w:rsidRPr="00310B7A">
        <w:rPr>
          <w:rFonts w:ascii="Times New Roman" w:hAnsi="Times New Roman" w:cs="Times New Roman"/>
        </w:rPr>
        <w:t xml:space="preserve">que si </w:t>
      </w:r>
      <w:r w:rsidRPr="00310B7A">
        <w:rPr>
          <w:rFonts w:ascii="Times New Roman" w:hAnsi="Times New Roman" w:cs="Times New Roman"/>
        </w:rPr>
        <w:t>l’interprétation de l’articl</w:t>
      </w:r>
      <w:r w:rsidR="00336DE2" w:rsidRPr="00310B7A">
        <w:rPr>
          <w:rFonts w:ascii="Times New Roman" w:hAnsi="Times New Roman" w:cs="Times New Roman"/>
        </w:rPr>
        <w:t xml:space="preserve">e </w:t>
      </w:r>
      <w:r w:rsidR="00336DE2" w:rsidRPr="00310B7A">
        <w:rPr>
          <w:rFonts w:ascii="Times New Roman" w:hAnsi="Times New Roman" w:cs="Times New Roman"/>
          <w:i/>
        </w:rPr>
        <w:t>b)</w:t>
      </w:r>
      <w:r w:rsidR="00336DE2" w:rsidRPr="00310B7A">
        <w:rPr>
          <w:rFonts w:ascii="Times New Roman" w:hAnsi="Times New Roman" w:cs="Times New Roman"/>
        </w:rPr>
        <w:t xml:space="preserve"> aboutiss</w:t>
      </w:r>
      <w:r w:rsidRPr="00310B7A">
        <w:rPr>
          <w:rFonts w:ascii="Times New Roman" w:hAnsi="Times New Roman" w:cs="Times New Roman"/>
        </w:rPr>
        <w:t>ait à autoriser les parties contractantes à se soustraire aux obligations fondamentales qui découlent de l’Accord général,  en prenant des mesures commerciales afin de mettre en œuvre des politiques dans leur propre sphère de compétence, y compris des politiques destinées à protéger les organismes vivants, les objectifs de l'Accord général seraient préservés</w:t>
      </w:r>
      <w:r w:rsidR="004E4F7C" w:rsidRPr="00310B7A">
        <w:rPr>
          <w:rStyle w:val="Marquenotebasdepage"/>
          <w:rFonts w:ascii="Times New Roman" w:hAnsi="Times New Roman" w:cs="Times New Roman"/>
        </w:rPr>
        <w:footnoteReference w:id="375"/>
      </w:r>
      <w:r w:rsidRPr="00310B7A">
        <w:rPr>
          <w:rFonts w:ascii="Times New Roman" w:hAnsi="Times New Roman" w:cs="Times New Roman"/>
        </w:rPr>
        <w:t>.</w:t>
      </w:r>
      <w:r w:rsidR="00336DE2" w:rsidRPr="00310B7A">
        <w:rPr>
          <w:rFonts w:ascii="Times New Roman" w:hAnsi="Times New Roman" w:cs="Times New Roman"/>
        </w:rPr>
        <w:t xml:space="preserve"> </w:t>
      </w:r>
      <w:r w:rsidRPr="00310B7A">
        <w:rPr>
          <w:rFonts w:ascii="Times New Roman" w:hAnsi="Times New Roman" w:cs="Times New Roman"/>
          <w:i/>
        </w:rPr>
        <w:t>A contrario</w:t>
      </w:r>
      <w:r w:rsidRPr="00310B7A">
        <w:rPr>
          <w:rFonts w:ascii="Times New Roman" w:hAnsi="Times New Roman" w:cs="Times New Roman"/>
        </w:rPr>
        <w:t xml:space="preserve">, </w:t>
      </w:r>
      <w:r w:rsidR="00336DE2" w:rsidRPr="00310B7A">
        <w:rPr>
          <w:rFonts w:ascii="Times New Roman" w:hAnsi="Times New Roman" w:cs="Times New Roman"/>
        </w:rPr>
        <w:t xml:space="preserve">il a considéré que </w:t>
      </w:r>
      <w:r w:rsidRPr="00310B7A">
        <w:rPr>
          <w:rFonts w:ascii="Times New Roman" w:hAnsi="Times New Roman" w:cs="Times New Roman"/>
        </w:rPr>
        <w:t>si l’interprét</w:t>
      </w:r>
      <w:r w:rsidR="00336DE2" w:rsidRPr="00310B7A">
        <w:rPr>
          <w:rFonts w:ascii="Times New Roman" w:hAnsi="Times New Roman" w:cs="Times New Roman"/>
        </w:rPr>
        <w:t xml:space="preserve">ation de l’article XX </w:t>
      </w:r>
      <w:r w:rsidR="00336DE2" w:rsidRPr="00310B7A">
        <w:rPr>
          <w:rFonts w:ascii="Times New Roman" w:hAnsi="Times New Roman" w:cs="Times New Roman"/>
          <w:i/>
        </w:rPr>
        <w:t>b)</w:t>
      </w:r>
      <w:r w:rsidR="00336DE2" w:rsidRPr="00310B7A">
        <w:rPr>
          <w:rFonts w:ascii="Times New Roman" w:hAnsi="Times New Roman" w:cs="Times New Roman"/>
        </w:rPr>
        <w:t xml:space="preserve"> aboutiss</w:t>
      </w:r>
      <w:r w:rsidRPr="00310B7A">
        <w:rPr>
          <w:rFonts w:ascii="Times New Roman" w:hAnsi="Times New Roman" w:cs="Times New Roman"/>
        </w:rPr>
        <w:t>ait à autoriser les parties contractantes à imposer des embargos commerciaux afin de contraindre d’autres pays à modifier leurs politiques dans leur sphère de compétence, y compris les politiques destinées à protéger les organismes vivants, et qui ont de l’effet exclusivement si les modifications sont effectuées, les objectifs de l'Accord général seraient gravement compromis</w:t>
      </w:r>
      <w:r w:rsidRPr="00310B7A">
        <w:rPr>
          <w:rStyle w:val="Marquenotebasdepage"/>
          <w:rFonts w:ascii="Times New Roman" w:hAnsi="Times New Roman" w:cs="Times New Roman"/>
        </w:rPr>
        <w:footnoteReference w:id="376"/>
      </w:r>
      <w:r w:rsidRPr="00310B7A">
        <w:rPr>
          <w:rFonts w:ascii="Times New Roman" w:hAnsi="Times New Roman" w:cs="Times New Roman"/>
        </w:rPr>
        <w:t xml:space="preserve">. </w:t>
      </w:r>
    </w:p>
    <w:p w14:paraId="49F5A7AF" w14:textId="77777777" w:rsidR="003A3574" w:rsidRPr="00AE539F" w:rsidRDefault="003A3574" w:rsidP="003A3574">
      <w:pPr>
        <w:spacing w:line="360" w:lineRule="auto"/>
        <w:jc w:val="both"/>
        <w:rPr>
          <w:rFonts w:ascii="Times New Roman" w:hAnsi="Times New Roman" w:cs="Times New Roman"/>
          <w:b/>
        </w:rPr>
      </w:pPr>
      <w:r w:rsidRPr="00AE539F">
        <w:rPr>
          <w:rFonts w:ascii="Times New Roman" w:hAnsi="Times New Roman" w:cs="Times New Roman"/>
          <w:b/>
        </w:rPr>
        <w:t>V. Paragraphe g) de l’article XX</w:t>
      </w:r>
    </w:p>
    <w:p w14:paraId="702ECAEC" w14:textId="77777777" w:rsidR="003A3574" w:rsidRDefault="003A3574" w:rsidP="003A3574">
      <w:pPr>
        <w:spacing w:line="360" w:lineRule="auto"/>
        <w:ind w:firstLine="708"/>
        <w:jc w:val="both"/>
        <w:rPr>
          <w:rFonts w:ascii="Times New Roman" w:hAnsi="Times New Roman" w:cs="Times New Roman"/>
          <w:b/>
        </w:rPr>
      </w:pPr>
      <w:r w:rsidRPr="00AE539F">
        <w:rPr>
          <w:rFonts w:ascii="Times New Roman" w:hAnsi="Times New Roman" w:cs="Times New Roman"/>
          <w:b/>
        </w:rPr>
        <w:t>A. Charge de la preuve</w:t>
      </w:r>
    </w:p>
    <w:p w14:paraId="4E2BC495" w14:textId="2FB1C0F7" w:rsidR="003A3574" w:rsidRDefault="00DF2F54" w:rsidP="003A3574">
      <w:pPr>
        <w:spacing w:line="360" w:lineRule="auto"/>
        <w:jc w:val="both"/>
        <w:rPr>
          <w:rFonts w:ascii="Times New Roman" w:hAnsi="Times New Roman" w:cs="Times New Roman"/>
        </w:rPr>
      </w:pPr>
      <w:r w:rsidRPr="00203891">
        <w:rPr>
          <w:rFonts w:ascii="Times New Roman" w:hAnsi="Times New Roman" w:cs="Times New Roman"/>
        </w:rPr>
        <w:t xml:space="preserve">L’affaire </w:t>
      </w:r>
      <w:r w:rsidRPr="00203891">
        <w:rPr>
          <w:rFonts w:ascii="Times New Roman" w:hAnsi="Times New Roman" w:cs="Times New Roman"/>
          <w:i/>
        </w:rPr>
        <w:t>Thon II</w:t>
      </w:r>
      <w:r w:rsidRPr="00203891">
        <w:rPr>
          <w:rFonts w:ascii="Times New Roman" w:hAnsi="Times New Roman" w:cs="Times New Roman"/>
        </w:rPr>
        <w:t xml:space="preserve"> préconise la même analyse que pour le paragraphe </w:t>
      </w:r>
      <w:r w:rsidRPr="00203891">
        <w:rPr>
          <w:rFonts w:ascii="Times New Roman" w:hAnsi="Times New Roman" w:cs="Times New Roman"/>
          <w:i/>
        </w:rPr>
        <w:t>b)</w:t>
      </w:r>
      <w:r w:rsidRPr="00203891">
        <w:rPr>
          <w:rFonts w:ascii="Times New Roman" w:hAnsi="Times New Roman" w:cs="Times New Roman"/>
        </w:rPr>
        <w:t>.</w:t>
      </w:r>
      <w:r w:rsidR="00203891" w:rsidRPr="00203891">
        <w:rPr>
          <w:rFonts w:ascii="Times New Roman" w:hAnsi="Times New Roman" w:cs="Times New Roman"/>
        </w:rPr>
        <w:t xml:space="preserve"> </w:t>
      </w:r>
      <w:r w:rsidRPr="00203891">
        <w:rPr>
          <w:rFonts w:ascii="Times New Roman" w:hAnsi="Times New Roman" w:cs="Times New Roman"/>
        </w:rPr>
        <w:t>Il</w:t>
      </w:r>
      <w:r>
        <w:rPr>
          <w:rFonts w:ascii="Times New Roman" w:hAnsi="Times New Roman" w:cs="Times New Roman"/>
        </w:rPr>
        <w:t xml:space="preserve"> ressort </w:t>
      </w:r>
      <w:r w:rsidR="003A3574">
        <w:rPr>
          <w:rFonts w:ascii="Times New Roman" w:hAnsi="Times New Roman" w:cs="Times New Roman"/>
        </w:rPr>
        <w:t>de la pratique des Groupes spéciaux que la partie qui a la charge de la preuve doit démontrer que les conditions suivantes sont remplies</w:t>
      </w:r>
      <w:r w:rsidR="003A3574">
        <w:rPr>
          <w:rStyle w:val="Marquenotebasdepage"/>
          <w:rFonts w:ascii="Times New Roman" w:hAnsi="Times New Roman" w:cs="Times New Roman"/>
        </w:rPr>
        <w:footnoteReference w:id="377"/>
      </w:r>
      <w:r w:rsidR="003A3574">
        <w:rPr>
          <w:rFonts w:ascii="Times New Roman" w:hAnsi="Times New Roman" w:cs="Times New Roman"/>
        </w:rPr>
        <w:t xml:space="preserve"> : </w:t>
      </w:r>
    </w:p>
    <w:p w14:paraId="002163EC" w14:textId="59C39567" w:rsidR="003A3574" w:rsidRPr="00AE539F" w:rsidRDefault="003A3574" w:rsidP="00825BAD">
      <w:pPr>
        <w:pStyle w:val="Paragraphedeliste"/>
        <w:numPr>
          <w:ilvl w:val="0"/>
          <w:numId w:val="10"/>
        </w:numPr>
        <w:spacing w:line="276" w:lineRule="auto"/>
        <w:jc w:val="both"/>
        <w:rPr>
          <w:rFonts w:ascii="Times New Roman" w:hAnsi="Times New Roman" w:cs="Times New Roman"/>
        </w:rPr>
      </w:pPr>
      <w:r>
        <w:rPr>
          <w:rFonts w:ascii="Times New Roman" w:hAnsi="Times New Roman" w:cs="Times New Roman"/>
        </w:rPr>
        <w:t>« </w:t>
      </w:r>
      <w:r w:rsidRPr="00AE539F">
        <w:rPr>
          <w:rFonts w:ascii="Times New Roman" w:hAnsi="Times New Roman" w:cs="Times New Roman"/>
        </w:rPr>
        <w:t xml:space="preserve">la </w:t>
      </w:r>
      <w:r w:rsidRPr="00AE539F">
        <w:rPr>
          <w:rFonts w:ascii="Times New Roman" w:hAnsi="Times New Roman" w:cs="Times New Roman"/>
          <w:i/>
        </w:rPr>
        <w:t>politique</w:t>
      </w:r>
      <w:r w:rsidRPr="00AE539F">
        <w:rPr>
          <w:rFonts w:ascii="Times New Roman" w:hAnsi="Times New Roman" w:cs="Times New Roman"/>
        </w:rPr>
        <w:t xml:space="preserve"> dont relevaient les mesures au sujet desquelles les dispositions étaient invoquées entrait dans la catégorie des politiques relatives à la conservation des ressources naturelles épuisables ;</w:t>
      </w:r>
    </w:p>
    <w:p w14:paraId="1C02F568" w14:textId="77777777" w:rsidR="003A3574" w:rsidRDefault="003A3574" w:rsidP="00825BAD">
      <w:pPr>
        <w:pStyle w:val="Paragraphedeliste"/>
        <w:numPr>
          <w:ilvl w:val="0"/>
          <w:numId w:val="10"/>
        </w:numPr>
        <w:spacing w:line="276" w:lineRule="auto"/>
        <w:jc w:val="both"/>
        <w:rPr>
          <w:rFonts w:ascii="Times New Roman" w:hAnsi="Times New Roman" w:cs="Times New Roman"/>
        </w:rPr>
      </w:pPr>
      <w:r>
        <w:rPr>
          <w:rFonts w:ascii="Times New Roman" w:hAnsi="Times New Roman" w:cs="Times New Roman"/>
        </w:rPr>
        <w:t xml:space="preserve">les mesures pour lesquelles l’exception était invoquée – c’est-à-dire les mesures commerciales particulières incompatibles avec l’Accord général – </w:t>
      </w:r>
      <w:r w:rsidRPr="00AE539F">
        <w:rPr>
          <w:rFonts w:ascii="Times New Roman" w:hAnsi="Times New Roman" w:cs="Times New Roman"/>
          <w:i/>
        </w:rPr>
        <w:t>se rapportaient</w:t>
      </w:r>
      <w:r>
        <w:rPr>
          <w:rFonts w:ascii="Times New Roman" w:hAnsi="Times New Roman" w:cs="Times New Roman"/>
        </w:rPr>
        <w:t xml:space="preserve"> à la conservation des ressources naturelles épuisables ;</w:t>
      </w:r>
    </w:p>
    <w:p w14:paraId="388D51C1" w14:textId="77777777" w:rsidR="003A3574" w:rsidRDefault="003A3574" w:rsidP="00825BAD">
      <w:pPr>
        <w:pStyle w:val="Paragraphedeliste"/>
        <w:numPr>
          <w:ilvl w:val="0"/>
          <w:numId w:val="10"/>
        </w:numPr>
        <w:spacing w:line="276" w:lineRule="auto"/>
        <w:jc w:val="both"/>
        <w:rPr>
          <w:rFonts w:ascii="Times New Roman" w:hAnsi="Times New Roman" w:cs="Times New Roman"/>
        </w:rPr>
      </w:pPr>
      <w:r>
        <w:rPr>
          <w:rFonts w:ascii="Times New Roman" w:hAnsi="Times New Roman" w:cs="Times New Roman"/>
        </w:rPr>
        <w:t xml:space="preserve">les mesures pour lesquelles l’exception était invoquée étaient appliquées </w:t>
      </w:r>
      <w:r w:rsidRPr="00AE539F">
        <w:rPr>
          <w:rFonts w:ascii="Times New Roman" w:hAnsi="Times New Roman" w:cs="Times New Roman"/>
          <w:i/>
        </w:rPr>
        <w:t>conjointement</w:t>
      </w:r>
      <w:r>
        <w:rPr>
          <w:rFonts w:ascii="Times New Roman" w:hAnsi="Times New Roman" w:cs="Times New Roman"/>
        </w:rPr>
        <w:t xml:space="preserve"> avec des restrictions à la production ou à la consommation nationales ; et</w:t>
      </w:r>
    </w:p>
    <w:p w14:paraId="70683394" w14:textId="36A5427C" w:rsidR="008953AA" w:rsidRPr="00E67CC1" w:rsidRDefault="003A3574" w:rsidP="00825BAD">
      <w:pPr>
        <w:pStyle w:val="Paragraphedeliste"/>
        <w:numPr>
          <w:ilvl w:val="0"/>
          <w:numId w:val="10"/>
        </w:numPr>
        <w:spacing w:line="276" w:lineRule="auto"/>
        <w:jc w:val="both"/>
        <w:rPr>
          <w:rFonts w:ascii="Times New Roman" w:hAnsi="Times New Roman" w:cs="Times New Roman"/>
        </w:rPr>
      </w:pPr>
      <w:r>
        <w:rPr>
          <w:rFonts w:ascii="Times New Roman" w:hAnsi="Times New Roman" w:cs="Times New Roman"/>
        </w:rPr>
        <w:t xml:space="preserve">les mesures étaient appliquées en conformité avec les conditions énoncées dans e </w:t>
      </w:r>
      <w:r w:rsidRPr="00AE539F">
        <w:rPr>
          <w:rFonts w:ascii="Times New Roman" w:hAnsi="Times New Roman" w:cs="Times New Roman"/>
          <w:i/>
        </w:rPr>
        <w:t>paragraphe introductif</w:t>
      </w:r>
      <w:r>
        <w:rPr>
          <w:rFonts w:ascii="Times New Roman" w:hAnsi="Times New Roman" w:cs="Times New Roman"/>
        </w:rPr>
        <w:t xml:space="preserve"> de l’article XX »</w:t>
      </w:r>
      <w:r w:rsidR="0023239D">
        <w:rPr>
          <w:rStyle w:val="Marquenotebasdepage"/>
          <w:rFonts w:ascii="Times New Roman" w:hAnsi="Times New Roman" w:cs="Times New Roman"/>
        </w:rPr>
        <w:footnoteReference w:id="378"/>
      </w:r>
      <w:r>
        <w:rPr>
          <w:rFonts w:ascii="Times New Roman" w:hAnsi="Times New Roman" w:cs="Times New Roman"/>
        </w:rPr>
        <w:t>.</w:t>
      </w:r>
    </w:p>
    <w:p w14:paraId="1DF7FE2D" w14:textId="77777777" w:rsidR="003A3574" w:rsidRDefault="003A3574"/>
    <w:p w14:paraId="30A40180" w14:textId="7A1A8E4D" w:rsidR="003A3574" w:rsidRPr="001D2870" w:rsidRDefault="003A3574" w:rsidP="001D2870">
      <w:pPr>
        <w:pStyle w:val="Paragraphedeliste"/>
        <w:numPr>
          <w:ilvl w:val="0"/>
          <w:numId w:val="15"/>
        </w:numPr>
        <w:spacing w:line="360" w:lineRule="auto"/>
        <w:jc w:val="both"/>
        <w:rPr>
          <w:rFonts w:ascii="Times New Roman" w:hAnsi="Times New Roman" w:cs="Times New Roman"/>
          <w:b/>
        </w:rPr>
      </w:pPr>
      <w:r w:rsidRPr="001D2870">
        <w:rPr>
          <w:rFonts w:ascii="Times New Roman" w:hAnsi="Times New Roman" w:cs="Times New Roman"/>
          <w:b/>
        </w:rPr>
        <w:t>Objectif général de conservation des ressources naturelles épuisables</w:t>
      </w:r>
    </w:p>
    <w:p w14:paraId="1EDA6172" w14:textId="51449673" w:rsidR="003A3574" w:rsidRDefault="003A3574" w:rsidP="003A3574">
      <w:pPr>
        <w:widowControl w:val="0"/>
        <w:autoSpaceDE w:val="0"/>
        <w:autoSpaceDN w:val="0"/>
        <w:adjustRightInd w:val="0"/>
        <w:spacing w:after="240" w:line="360" w:lineRule="auto"/>
        <w:jc w:val="both"/>
        <w:rPr>
          <w:rFonts w:ascii="Times New Roman" w:hAnsi="Times New Roman" w:cs="Times New Roman"/>
        </w:rPr>
      </w:pPr>
      <w:r w:rsidRPr="00AC3A85">
        <w:rPr>
          <w:rFonts w:ascii="Times New Roman" w:hAnsi="Times New Roman" w:cs="Times New Roman"/>
        </w:rPr>
        <w:t xml:space="preserve">Dans l’affaire </w:t>
      </w:r>
      <w:r w:rsidRPr="003A3574">
        <w:rPr>
          <w:rFonts w:ascii="Times New Roman" w:hAnsi="Times New Roman" w:cs="Times New Roman"/>
          <w:i/>
        </w:rPr>
        <w:t xml:space="preserve">Thon </w:t>
      </w:r>
      <w:r w:rsidRPr="00AC3A85">
        <w:rPr>
          <w:rFonts w:ascii="Times New Roman" w:hAnsi="Times New Roman" w:cs="Times New Roman"/>
        </w:rPr>
        <w:t xml:space="preserve">de </w:t>
      </w:r>
      <w:r w:rsidRPr="003A3574">
        <w:rPr>
          <w:rFonts w:ascii="Times New Roman" w:hAnsi="Times New Roman" w:cs="Times New Roman"/>
          <w:i/>
        </w:rPr>
        <w:t>1982</w:t>
      </w:r>
      <w:r w:rsidRPr="00AC3A85">
        <w:rPr>
          <w:rFonts w:ascii="Times New Roman" w:hAnsi="Times New Roman" w:cs="Times New Roman"/>
        </w:rPr>
        <w:t>, le Groupe spécial</w:t>
      </w:r>
      <w:r>
        <w:rPr>
          <w:rFonts w:ascii="Times New Roman" w:hAnsi="Times New Roman" w:cs="Times New Roman"/>
        </w:rPr>
        <w:t xml:space="preserve"> a</w:t>
      </w:r>
      <w:r w:rsidRPr="00AC3A85">
        <w:rPr>
          <w:rFonts w:ascii="Times New Roman" w:hAnsi="Times New Roman" w:cs="Times New Roman"/>
        </w:rPr>
        <w:t xml:space="preserve"> souligné d’une part, que les stocks de poissons étaient exposés au risque d’être surexploités et épuisés</w:t>
      </w:r>
      <w:r w:rsidRPr="00AC3A85">
        <w:rPr>
          <w:rStyle w:val="Marquenotebasdepage"/>
          <w:rFonts w:ascii="Times New Roman" w:hAnsi="Times New Roman" w:cs="Times New Roman"/>
        </w:rPr>
        <w:footnoteReference w:id="379"/>
      </w:r>
      <w:r w:rsidRPr="00AC3A85">
        <w:rPr>
          <w:rFonts w:ascii="Times New Roman" w:hAnsi="Times New Roman" w:cs="Times New Roman"/>
        </w:rPr>
        <w:t xml:space="preserve"> et d’autre part, que le Canada et les Etats-Unis considéraient les stocks de thon comme une ressource naturelle épuisable dont la conservation devait être gérée et améliorée</w:t>
      </w:r>
      <w:r w:rsidRPr="00AC3A85">
        <w:rPr>
          <w:rStyle w:val="Marquenotebasdepage"/>
          <w:rFonts w:ascii="Times New Roman" w:hAnsi="Times New Roman" w:cs="Times New Roman"/>
        </w:rPr>
        <w:footnoteReference w:id="380"/>
      </w:r>
      <w:r w:rsidRPr="00AC3A85">
        <w:rPr>
          <w:rFonts w:ascii="Times New Roman" w:hAnsi="Times New Roman" w:cs="Times New Roman"/>
        </w:rPr>
        <w:t xml:space="preserve">. </w:t>
      </w:r>
    </w:p>
    <w:p w14:paraId="3AD91301" w14:textId="77777777" w:rsidR="003A3574" w:rsidRDefault="003A3574" w:rsidP="003A3574">
      <w:pPr>
        <w:widowControl w:val="0"/>
        <w:autoSpaceDE w:val="0"/>
        <w:autoSpaceDN w:val="0"/>
        <w:adjustRightInd w:val="0"/>
        <w:spacing w:after="240" w:line="360" w:lineRule="auto"/>
        <w:jc w:val="both"/>
        <w:rPr>
          <w:rFonts w:ascii="Times New Roman" w:hAnsi="Times New Roman" w:cs="Times New Roman"/>
        </w:rPr>
      </w:pPr>
      <w:r w:rsidRPr="00AC3A85">
        <w:rPr>
          <w:rFonts w:ascii="Times New Roman" w:hAnsi="Times New Roman" w:cs="Times New Roman"/>
        </w:rPr>
        <w:t xml:space="preserve">Dans l’affaire </w:t>
      </w:r>
      <w:r w:rsidRPr="00F95CCC">
        <w:rPr>
          <w:rFonts w:ascii="Times New Roman" w:hAnsi="Times New Roman" w:cs="Times New Roman"/>
          <w:i/>
        </w:rPr>
        <w:t>Saumons/Harengs</w:t>
      </w:r>
      <w:r w:rsidRPr="00AC3A85">
        <w:rPr>
          <w:rFonts w:ascii="Times New Roman" w:hAnsi="Times New Roman" w:cs="Times New Roman"/>
        </w:rPr>
        <w:t>, le Groupe spécial a constaté que le Canada et les Etats-Unis avaient convenu que les stocks de saumon et de harengs étaient des « ressources naturelles épuisables »</w:t>
      </w:r>
      <w:r w:rsidRPr="00AC3A85">
        <w:rPr>
          <w:rStyle w:val="Marquenotebasdepage"/>
          <w:rFonts w:ascii="Times New Roman" w:hAnsi="Times New Roman" w:cs="Times New Roman"/>
        </w:rPr>
        <w:footnoteReference w:id="381"/>
      </w:r>
      <w:r w:rsidRPr="00AC3A85">
        <w:rPr>
          <w:rFonts w:ascii="Times New Roman" w:hAnsi="Times New Roman" w:cs="Times New Roman"/>
        </w:rPr>
        <w:t xml:space="preserve">. </w:t>
      </w:r>
    </w:p>
    <w:p w14:paraId="43947828" w14:textId="5FB44047" w:rsidR="00A862D7" w:rsidRPr="00AC3A85" w:rsidRDefault="009F7034" w:rsidP="00107FD5">
      <w:pPr>
        <w:widowControl w:val="0"/>
        <w:autoSpaceDE w:val="0"/>
        <w:autoSpaceDN w:val="0"/>
        <w:adjustRightInd w:val="0"/>
        <w:spacing w:after="240" w:line="360" w:lineRule="auto"/>
        <w:jc w:val="both"/>
        <w:rPr>
          <w:rFonts w:ascii="Times New Roman" w:hAnsi="Times New Roman" w:cs="Times New Roman"/>
        </w:rPr>
      </w:pPr>
      <w:r>
        <w:rPr>
          <w:rFonts w:ascii="Times New Roman" w:hAnsi="Times New Roman" w:cs="Times New Roman"/>
        </w:rPr>
        <w:t>Si d</w:t>
      </w:r>
      <w:r w:rsidR="003A3574" w:rsidRPr="00AC3A85">
        <w:rPr>
          <w:rFonts w:ascii="Times New Roman" w:hAnsi="Times New Roman" w:cs="Times New Roman"/>
        </w:rPr>
        <w:t xml:space="preserve">ans l’affaire </w:t>
      </w:r>
      <w:r w:rsidR="003A3574" w:rsidRPr="00BF2AA0">
        <w:rPr>
          <w:rFonts w:ascii="Times New Roman" w:hAnsi="Times New Roman" w:cs="Times New Roman"/>
          <w:i/>
        </w:rPr>
        <w:t>Thon I</w:t>
      </w:r>
      <w:r w:rsidR="003A3574" w:rsidRPr="00AC3A85">
        <w:rPr>
          <w:rFonts w:ascii="Times New Roman" w:hAnsi="Times New Roman" w:cs="Times New Roman"/>
        </w:rPr>
        <w:t>, le Groupe spécial et les parties ont convenu imp</w:t>
      </w:r>
      <w:r w:rsidR="00A862D7">
        <w:rPr>
          <w:rFonts w:ascii="Times New Roman" w:hAnsi="Times New Roman" w:cs="Times New Roman"/>
        </w:rPr>
        <w:t>licitement que les dauphins étaient</w:t>
      </w:r>
      <w:r w:rsidR="003A3574" w:rsidRPr="00AC3A85">
        <w:rPr>
          <w:rFonts w:ascii="Times New Roman" w:hAnsi="Times New Roman" w:cs="Times New Roman"/>
        </w:rPr>
        <w:t xml:space="preserve"> des ressources naturelles épuisables</w:t>
      </w:r>
      <w:r>
        <w:rPr>
          <w:rStyle w:val="Marquenotebasdepage"/>
          <w:rFonts w:ascii="Times New Roman" w:hAnsi="Times New Roman" w:cs="Times New Roman"/>
        </w:rPr>
        <w:footnoteReference w:id="382"/>
      </w:r>
      <w:r w:rsidR="003A3574" w:rsidRPr="00AC3A85">
        <w:rPr>
          <w:rFonts w:ascii="Times New Roman" w:hAnsi="Times New Roman" w:cs="Times New Roman"/>
        </w:rPr>
        <w:t xml:space="preserve">, dans l’affaire </w:t>
      </w:r>
      <w:r w:rsidR="003A3574" w:rsidRPr="00BF2AA0">
        <w:rPr>
          <w:rFonts w:ascii="Times New Roman" w:hAnsi="Times New Roman" w:cs="Times New Roman"/>
          <w:i/>
        </w:rPr>
        <w:t>Thon II</w:t>
      </w:r>
      <w:r w:rsidR="003A3574" w:rsidRPr="00AC3A85">
        <w:rPr>
          <w:rFonts w:ascii="Times New Roman" w:hAnsi="Times New Roman" w:cs="Times New Roman"/>
        </w:rPr>
        <w:t>, les parties n’étaient pas d’accord sur ce point</w:t>
      </w:r>
      <w:r w:rsidR="003A3574" w:rsidRPr="00AC3A85">
        <w:rPr>
          <w:rStyle w:val="Marquenotebasdepage"/>
          <w:rFonts w:ascii="Times New Roman" w:hAnsi="Times New Roman" w:cs="Times New Roman"/>
        </w:rPr>
        <w:footnoteReference w:id="383"/>
      </w:r>
      <w:r w:rsidR="003A3574" w:rsidRPr="00AC3A85">
        <w:rPr>
          <w:rFonts w:ascii="Times New Roman" w:hAnsi="Times New Roman" w:cs="Times New Roman"/>
        </w:rPr>
        <w:t>.</w:t>
      </w:r>
      <w:r w:rsidR="00107FD5">
        <w:rPr>
          <w:rFonts w:ascii="Times New Roman" w:hAnsi="Times New Roman" w:cs="Times New Roman"/>
        </w:rPr>
        <w:t xml:space="preserve"> </w:t>
      </w:r>
      <w:r w:rsidR="00107FD5" w:rsidRPr="00203891">
        <w:rPr>
          <w:rFonts w:ascii="Times New Roman" w:hAnsi="Times New Roman" w:cs="Times New Roman"/>
        </w:rPr>
        <w:t>D</w:t>
      </w:r>
      <w:r w:rsidR="00A862D7" w:rsidRPr="00203891">
        <w:rPr>
          <w:rFonts w:ascii="Times New Roman" w:hAnsi="Times New Roman" w:cs="Times New Roman"/>
        </w:rPr>
        <w:t xml:space="preserve">ans l’affaire </w:t>
      </w:r>
      <w:r w:rsidR="00A862D7" w:rsidRPr="00203891">
        <w:rPr>
          <w:rFonts w:ascii="Times New Roman" w:hAnsi="Times New Roman" w:cs="Times New Roman"/>
          <w:i/>
        </w:rPr>
        <w:t>Thon II</w:t>
      </w:r>
      <w:r w:rsidR="00A862D7" w:rsidRPr="00203891">
        <w:rPr>
          <w:rFonts w:ascii="Times New Roman" w:hAnsi="Times New Roman" w:cs="Times New Roman"/>
        </w:rPr>
        <w:t>, le Groupe spécial a constaté d’une part, que les stocks de dauphins pouvaient éventuellement s’épuiser et d’autre part, que le fondement d’une politique visant à les conserver ne dépendait en aucun cas de la question de savoir si les stocks étaient actuellement appauvris</w:t>
      </w:r>
      <w:r w:rsidR="00A862D7" w:rsidRPr="00203891">
        <w:rPr>
          <w:rStyle w:val="Marquenotebasdepage"/>
          <w:rFonts w:ascii="Times New Roman" w:hAnsi="Times New Roman" w:cs="Times New Roman"/>
        </w:rPr>
        <w:footnoteReference w:id="384"/>
      </w:r>
      <w:r w:rsidR="00A862D7" w:rsidRPr="00203891">
        <w:rPr>
          <w:rFonts w:ascii="Times New Roman" w:hAnsi="Times New Roman" w:cs="Times New Roman"/>
        </w:rPr>
        <w:t>. Le Groupe spécial a déduit de ceci qu’ </w:t>
      </w:r>
      <w:r w:rsidR="00A862D7" w:rsidRPr="00203891">
        <w:rPr>
          <w:rFonts w:ascii="Times New Roman" w:hAnsi="Times New Roman" w:cs="Times New Roman"/>
          <w:i/>
        </w:rPr>
        <w:t>« une politique visant à conserver les dauphins était une politique visant à conserver une ressource naturelle épuisable »</w:t>
      </w:r>
      <w:r w:rsidR="00A862D7" w:rsidRPr="00203891">
        <w:rPr>
          <w:rStyle w:val="Marquenotebasdepage"/>
          <w:rFonts w:ascii="Times New Roman" w:hAnsi="Times New Roman" w:cs="Times New Roman"/>
          <w:i/>
        </w:rPr>
        <w:footnoteReference w:id="385"/>
      </w:r>
      <w:r w:rsidR="00A862D7" w:rsidRPr="00203891">
        <w:rPr>
          <w:rFonts w:ascii="Times New Roman" w:hAnsi="Times New Roman" w:cs="Times New Roman"/>
        </w:rPr>
        <w:t>.</w:t>
      </w:r>
      <w:r w:rsidR="00107FD5" w:rsidRPr="00203891">
        <w:rPr>
          <w:rFonts w:ascii="Times New Roman" w:hAnsi="Times New Roman" w:cs="Times New Roman"/>
        </w:rPr>
        <w:t xml:space="preserve"> </w:t>
      </w:r>
    </w:p>
    <w:p w14:paraId="632A9A97" w14:textId="49773312" w:rsidR="00885B7F" w:rsidRDefault="00885B7F" w:rsidP="00885B7F">
      <w:pPr>
        <w:spacing w:line="360" w:lineRule="auto"/>
        <w:jc w:val="both"/>
        <w:rPr>
          <w:rFonts w:ascii="Times New Roman" w:hAnsi="Times New Roman" w:cs="Times New Roman"/>
        </w:rPr>
      </w:pPr>
      <w:r>
        <w:rPr>
          <w:rFonts w:ascii="Times New Roman" w:hAnsi="Times New Roman" w:cs="Times New Roman"/>
        </w:rPr>
        <w:t xml:space="preserve">Dans l’affaire </w:t>
      </w:r>
      <w:r w:rsidRPr="00BF2AA0">
        <w:rPr>
          <w:rFonts w:ascii="Times New Roman" w:hAnsi="Times New Roman" w:cs="Times New Roman"/>
          <w:i/>
        </w:rPr>
        <w:t>Essence</w:t>
      </w:r>
      <w:r>
        <w:rPr>
          <w:rFonts w:ascii="Times New Roman" w:hAnsi="Times New Roman" w:cs="Times New Roman"/>
        </w:rPr>
        <w:t>, les Etats-Unis considéraient que l’air pur était une ressource naturelle épuisable étant donné qu’elle pouvait être épuisée par les polluants émis lors de la consommation d’essence</w:t>
      </w:r>
      <w:r>
        <w:rPr>
          <w:rStyle w:val="Marquenotebasdepage"/>
          <w:rFonts w:ascii="Times New Roman" w:hAnsi="Times New Roman" w:cs="Times New Roman"/>
        </w:rPr>
        <w:footnoteReference w:id="386"/>
      </w:r>
      <w:r>
        <w:rPr>
          <w:rFonts w:ascii="Times New Roman" w:hAnsi="Times New Roman" w:cs="Times New Roman"/>
        </w:rPr>
        <w:t xml:space="preserve">. Le Venezuela considérait quant à lui que la pureté de l’air </w:t>
      </w:r>
      <w:r w:rsidR="009F7034">
        <w:rPr>
          <w:rFonts w:ascii="Times New Roman" w:hAnsi="Times New Roman" w:cs="Times New Roman"/>
        </w:rPr>
        <w:t xml:space="preserve">était un « état » renouvelable </w:t>
      </w:r>
      <w:r>
        <w:rPr>
          <w:rFonts w:ascii="Times New Roman" w:hAnsi="Times New Roman" w:cs="Times New Roman"/>
        </w:rPr>
        <w:t>pl</w:t>
      </w:r>
      <w:r w:rsidR="009F7034">
        <w:rPr>
          <w:rFonts w:ascii="Times New Roman" w:hAnsi="Times New Roman" w:cs="Times New Roman"/>
        </w:rPr>
        <w:t>utôt qu’une ressource épuisable</w:t>
      </w:r>
      <w:r w:rsidR="003F686F">
        <w:rPr>
          <w:rStyle w:val="Marquenotebasdepage"/>
          <w:rFonts w:ascii="Times New Roman" w:hAnsi="Times New Roman" w:cs="Times New Roman"/>
        </w:rPr>
        <w:footnoteReference w:id="387"/>
      </w:r>
      <w:r>
        <w:rPr>
          <w:rFonts w:ascii="Times New Roman" w:hAnsi="Times New Roman" w:cs="Times New Roman"/>
        </w:rPr>
        <w:t>. Le Groupe spécial a considéré que l’air pur était une ressource naturelle épuisable</w:t>
      </w:r>
      <w:r w:rsidR="003F686F">
        <w:rPr>
          <w:rStyle w:val="Marquenotebasdepage"/>
          <w:rFonts w:ascii="Times New Roman" w:hAnsi="Times New Roman" w:cs="Times New Roman"/>
        </w:rPr>
        <w:footnoteReference w:id="388"/>
      </w:r>
      <w:r>
        <w:rPr>
          <w:rFonts w:ascii="Times New Roman" w:hAnsi="Times New Roman" w:cs="Times New Roman"/>
        </w:rPr>
        <w:t>. Dans son rapport, il a énoncé que l’air pur était une ressource, un élément naturel qui pouvait être épuisé. Selon lui, le fait que la ressource épuisée soit renouvelable et puisse être définie sur le plan qualitatif ne constituaient pas des critères décisifs</w:t>
      </w:r>
      <w:r w:rsidR="003F686F">
        <w:rPr>
          <w:rStyle w:val="Marquenotebasdepage"/>
          <w:rFonts w:ascii="Times New Roman" w:hAnsi="Times New Roman" w:cs="Times New Roman"/>
        </w:rPr>
        <w:footnoteReference w:id="389"/>
      </w:r>
      <w:r>
        <w:rPr>
          <w:rFonts w:ascii="Times New Roman" w:hAnsi="Times New Roman" w:cs="Times New Roman"/>
        </w:rPr>
        <w:t xml:space="preserve">. Eu égard à l’affaire </w:t>
      </w:r>
      <w:r w:rsidR="009D736B">
        <w:rPr>
          <w:rFonts w:ascii="Times New Roman" w:hAnsi="Times New Roman" w:cs="Times New Roman"/>
          <w:i/>
        </w:rPr>
        <w:t>Saumons/H</w:t>
      </w:r>
      <w:r w:rsidRPr="003F686F">
        <w:rPr>
          <w:rFonts w:ascii="Times New Roman" w:hAnsi="Times New Roman" w:cs="Times New Roman"/>
          <w:i/>
        </w:rPr>
        <w:t>arengs</w:t>
      </w:r>
      <w:r>
        <w:rPr>
          <w:rFonts w:ascii="Times New Roman" w:hAnsi="Times New Roman" w:cs="Times New Roman"/>
        </w:rPr>
        <w:t xml:space="preserve"> dans laquelle le Groupe spécial avait considéré que les stocks renouvelables de saumons constituaient des ressources naturelles épuisables, le Groupe spécial de l’affaire </w:t>
      </w:r>
      <w:r w:rsidRPr="00A05B68">
        <w:rPr>
          <w:rFonts w:ascii="Times New Roman" w:hAnsi="Times New Roman" w:cs="Times New Roman"/>
          <w:i/>
        </w:rPr>
        <w:t>Essence</w:t>
      </w:r>
      <w:r>
        <w:rPr>
          <w:rFonts w:ascii="Times New Roman" w:hAnsi="Times New Roman" w:cs="Times New Roman"/>
        </w:rPr>
        <w:t xml:space="preserve"> a constaté qu’ </w:t>
      </w:r>
      <w:r w:rsidRPr="003F686F">
        <w:rPr>
          <w:rFonts w:ascii="Times New Roman" w:hAnsi="Times New Roman" w:cs="Times New Roman"/>
          <w:i/>
        </w:rPr>
        <w:t>« une politique visant à limiter l’épuisement de l’air pur était une politique visant à la conservation d’une ressource naturelle au sens de l’article XX g)</w:t>
      </w:r>
      <w:r w:rsidR="003F686F" w:rsidRPr="003F686F">
        <w:rPr>
          <w:rFonts w:ascii="Times New Roman" w:hAnsi="Times New Roman" w:cs="Times New Roman"/>
          <w:i/>
        </w:rPr>
        <w:t> »</w:t>
      </w:r>
      <w:r w:rsidRPr="003F686F">
        <w:rPr>
          <w:rStyle w:val="Marquenotebasdepage"/>
          <w:rFonts w:ascii="Times New Roman" w:hAnsi="Times New Roman" w:cs="Times New Roman"/>
        </w:rPr>
        <w:footnoteReference w:id="390"/>
      </w:r>
      <w:r w:rsidRPr="003F686F">
        <w:rPr>
          <w:rFonts w:ascii="Times New Roman" w:hAnsi="Times New Roman" w:cs="Times New Roman"/>
        </w:rPr>
        <w:t>.</w:t>
      </w:r>
    </w:p>
    <w:p w14:paraId="178C85BA" w14:textId="77777777" w:rsidR="00107FD5" w:rsidRDefault="00107FD5" w:rsidP="001D7CBC">
      <w:pPr>
        <w:spacing w:line="360" w:lineRule="auto"/>
        <w:ind w:firstLine="708"/>
        <w:jc w:val="both"/>
        <w:rPr>
          <w:rFonts w:ascii="Times" w:hAnsi="Times" w:cs="Times"/>
          <w:sz w:val="30"/>
          <w:szCs w:val="30"/>
        </w:rPr>
      </w:pPr>
    </w:p>
    <w:p w14:paraId="341FA1B6" w14:textId="4F4CA7FF" w:rsidR="001D7CBC" w:rsidRDefault="001D7CBC" w:rsidP="001D7CBC">
      <w:pPr>
        <w:spacing w:line="360" w:lineRule="auto"/>
        <w:jc w:val="both"/>
        <w:rPr>
          <w:rFonts w:ascii="Times New Roman" w:hAnsi="Times New Roman" w:cs="Times New Roman"/>
        </w:rPr>
      </w:pPr>
      <w:r w:rsidRPr="00736914">
        <w:rPr>
          <w:rFonts w:ascii="Times New Roman" w:hAnsi="Times New Roman" w:cs="Times New Roman"/>
        </w:rPr>
        <w:t xml:space="preserve">Dans l’affaire </w:t>
      </w:r>
      <w:r w:rsidRPr="00736914">
        <w:rPr>
          <w:rFonts w:ascii="Times New Roman" w:hAnsi="Times New Roman" w:cs="Times New Roman"/>
          <w:i/>
        </w:rPr>
        <w:t>Crevettes</w:t>
      </w:r>
      <w:r>
        <w:rPr>
          <w:rFonts w:ascii="Times New Roman" w:hAnsi="Times New Roman" w:cs="Times New Roman"/>
        </w:rPr>
        <w:t>, les parties ne s’étaient</w:t>
      </w:r>
      <w:r w:rsidRPr="00736914">
        <w:rPr>
          <w:rFonts w:ascii="Times New Roman" w:hAnsi="Times New Roman" w:cs="Times New Roman"/>
        </w:rPr>
        <w:t xml:space="preserve"> pas mises d’accord sur la question de savoir si les tortues marines étaient des « ressources naturelles épuisables » au sens du paragraphe </w:t>
      </w:r>
      <w:r w:rsidRPr="00736914">
        <w:rPr>
          <w:rFonts w:ascii="Times New Roman" w:hAnsi="Times New Roman" w:cs="Times New Roman"/>
          <w:i/>
        </w:rPr>
        <w:t>g)</w:t>
      </w:r>
      <w:r w:rsidR="0023239D">
        <w:rPr>
          <w:rStyle w:val="Marquenotebasdepage"/>
          <w:rFonts w:ascii="Times New Roman" w:hAnsi="Times New Roman" w:cs="Times New Roman"/>
          <w:i/>
        </w:rPr>
        <w:footnoteReference w:id="391"/>
      </w:r>
      <w:r w:rsidRPr="00736914">
        <w:rPr>
          <w:rFonts w:ascii="Times New Roman" w:hAnsi="Times New Roman" w:cs="Times New Roman"/>
        </w:rPr>
        <w:t xml:space="preserve">. L’Organe d’appel a souligné que </w:t>
      </w:r>
      <w:r w:rsidRPr="00736914">
        <w:rPr>
          <w:rFonts w:ascii="Times New Roman" w:hAnsi="Times New Roman" w:cs="Times New Roman"/>
          <w:i/>
        </w:rPr>
        <w:t>« le texte de l’article XX g) ne se limitait pas à la conservation de ressources naturelles « minérales » ou « vivantes », et que les espèces vivantes, qui sont en principe « renouvelables », peuvent dans certaines circonstances se raréfier, s’épuiser ou disparaître, bien souvent à cause des activités humaines »</w:t>
      </w:r>
      <w:r w:rsidRPr="00736914">
        <w:rPr>
          <w:rStyle w:val="Marquenotebasdepage"/>
          <w:rFonts w:ascii="Times New Roman" w:hAnsi="Times New Roman" w:cs="Times New Roman"/>
        </w:rPr>
        <w:footnoteReference w:id="392"/>
      </w:r>
      <w:r w:rsidRPr="00736914">
        <w:rPr>
          <w:rFonts w:ascii="Times New Roman" w:hAnsi="Times New Roman" w:cs="Times New Roman"/>
        </w:rPr>
        <w:t>. L’Organe d’appel a également noté que la notion de « ressources naturelles épuisables »</w:t>
      </w:r>
      <w:r>
        <w:rPr>
          <w:rFonts w:ascii="Times New Roman" w:hAnsi="Times New Roman" w:cs="Times New Roman"/>
        </w:rPr>
        <w:t xml:space="preserve"> devai</w:t>
      </w:r>
      <w:r w:rsidRPr="00736914">
        <w:rPr>
          <w:rFonts w:ascii="Times New Roman" w:hAnsi="Times New Roman" w:cs="Times New Roman"/>
        </w:rPr>
        <w:t xml:space="preserve">t être analysée à la </w:t>
      </w:r>
      <w:r w:rsidRPr="009D736B">
        <w:rPr>
          <w:rFonts w:ascii="Times New Roman" w:hAnsi="Times New Roman" w:cs="Times New Roman"/>
          <w:i/>
        </w:rPr>
        <w:t>« lumière des préoccupations actuelles de la communauté des nations en matière de protection et de conservation de l’environnement »</w:t>
      </w:r>
      <w:r w:rsidRPr="00736914">
        <w:rPr>
          <w:rFonts w:ascii="Times New Roman" w:hAnsi="Times New Roman" w:cs="Times New Roman"/>
        </w:rPr>
        <w:t xml:space="preserve"> étant donné que cette notion qui figure à l’article XX </w:t>
      </w:r>
      <w:r w:rsidRPr="003F686F">
        <w:rPr>
          <w:rFonts w:ascii="Times New Roman" w:hAnsi="Times New Roman" w:cs="Times New Roman"/>
          <w:i/>
        </w:rPr>
        <w:t>g)</w:t>
      </w:r>
      <w:r w:rsidR="002F01CA">
        <w:rPr>
          <w:rFonts w:ascii="Times New Roman" w:hAnsi="Times New Roman" w:cs="Times New Roman"/>
        </w:rPr>
        <w:t xml:space="preserve"> a été </w:t>
      </w:r>
      <w:r w:rsidRPr="00736914">
        <w:rPr>
          <w:rFonts w:ascii="Times New Roman" w:hAnsi="Times New Roman" w:cs="Times New Roman"/>
        </w:rPr>
        <w:t>façonné</w:t>
      </w:r>
      <w:r w:rsidR="0084425D">
        <w:rPr>
          <w:rFonts w:ascii="Times New Roman" w:hAnsi="Times New Roman" w:cs="Times New Roman"/>
        </w:rPr>
        <w:t>e</w:t>
      </w:r>
      <w:r w:rsidRPr="00736914">
        <w:rPr>
          <w:rFonts w:ascii="Times New Roman" w:hAnsi="Times New Roman" w:cs="Times New Roman"/>
        </w:rPr>
        <w:t xml:space="preserve"> il y a plus de 50 ans</w:t>
      </w:r>
      <w:r w:rsidR="003F686F">
        <w:rPr>
          <w:rStyle w:val="Marquenotebasdepage"/>
          <w:rFonts w:ascii="Times New Roman" w:hAnsi="Times New Roman" w:cs="Times New Roman"/>
        </w:rPr>
        <w:footnoteReference w:id="393"/>
      </w:r>
      <w:r w:rsidRPr="00736914">
        <w:rPr>
          <w:rFonts w:ascii="Times New Roman" w:hAnsi="Times New Roman" w:cs="Times New Roman"/>
        </w:rPr>
        <w:t>.</w:t>
      </w:r>
      <w:r>
        <w:rPr>
          <w:rFonts w:ascii="Times New Roman" w:hAnsi="Times New Roman" w:cs="Times New Roman"/>
        </w:rPr>
        <w:t xml:space="preserve"> Ainsi, si l’article XX n’a pas fait l’objet de modification lors du Cycle d’Urguay, </w:t>
      </w:r>
      <w:r w:rsidRPr="00203891">
        <w:rPr>
          <w:rFonts w:ascii="Times New Roman" w:hAnsi="Times New Roman" w:cs="Times New Roman"/>
        </w:rPr>
        <w:t xml:space="preserve">il </w:t>
      </w:r>
      <w:r w:rsidR="008C3E7A" w:rsidRPr="00203891">
        <w:rPr>
          <w:rFonts w:ascii="Times New Roman" w:hAnsi="Times New Roman" w:cs="Times New Roman"/>
        </w:rPr>
        <w:t>ressort</w:t>
      </w:r>
      <w:r w:rsidRPr="00203891">
        <w:rPr>
          <w:rFonts w:ascii="Times New Roman" w:hAnsi="Times New Roman" w:cs="Times New Roman"/>
        </w:rPr>
        <w:t xml:space="preserve"> du préambule</w:t>
      </w:r>
      <w:r>
        <w:rPr>
          <w:rFonts w:ascii="Times New Roman" w:hAnsi="Times New Roman" w:cs="Times New Roman"/>
        </w:rPr>
        <w:t xml:space="preserve"> de l’Accord sur l’OMC que les signataires de ce</w:t>
      </w:r>
      <w:r w:rsidR="00F65F4A">
        <w:rPr>
          <w:rFonts w:ascii="Times New Roman" w:hAnsi="Times New Roman" w:cs="Times New Roman"/>
        </w:rPr>
        <w:t xml:space="preserve">t accord étaient conscients de </w:t>
      </w:r>
      <w:r>
        <w:rPr>
          <w:rFonts w:ascii="Times New Roman" w:hAnsi="Times New Roman" w:cs="Times New Roman"/>
        </w:rPr>
        <w:t>l’importance et de la légitimité de la protection de l’environnement comme objectif de la politique nationale et internationale en 1994</w:t>
      </w:r>
      <w:r w:rsidR="003F686F">
        <w:rPr>
          <w:rStyle w:val="Marquenotebasdepage"/>
          <w:rFonts w:ascii="Times New Roman" w:hAnsi="Times New Roman" w:cs="Times New Roman"/>
        </w:rPr>
        <w:footnoteReference w:id="394"/>
      </w:r>
      <w:r>
        <w:rPr>
          <w:rFonts w:ascii="Times New Roman" w:hAnsi="Times New Roman" w:cs="Times New Roman"/>
        </w:rPr>
        <w:t xml:space="preserve">. </w:t>
      </w:r>
    </w:p>
    <w:p w14:paraId="54681270" w14:textId="77777777" w:rsidR="00F65F4A" w:rsidRDefault="00F65F4A" w:rsidP="001D7CBC">
      <w:pPr>
        <w:spacing w:line="360" w:lineRule="auto"/>
        <w:jc w:val="both"/>
        <w:rPr>
          <w:rFonts w:ascii="Times New Roman" w:hAnsi="Times New Roman"/>
        </w:rPr>
      </w:pPr>
    </w:p>
    <w:p w14:paraId="640A7838" w14:textId="4AE2390E" w:rsidR="001D7CBC" w:rsidRPr="00203891" w:rsidRDefault="00F65F4A" w:rsidP="001D7CBC">
      <w:pPr>
        <w:spacing w:line="360" w:lineRule="auto"/>
        <w:jc w:val="both"/>
        <w:rPr>
          <w:rFonts w:ascii="Times New Roman" w:hAnsi="Times New Roman"/>
        </w:rPr>
      </w:pPr>
      <w:r w:rsidRPr="00203891">
        <w:rPr>
          <w:rFonts w:ascii="Times New Roman" w:hAnsi="Times New Roman" w:cs="Times New Roman"/>
        </w:rPr>
        <w:t>L’Organe d’appel</w:t>
      </w:r>
      <w:r w:rsidR="001D7CBC" w:rsidRPr="00203891">
        <w:rPr>
          <w:rFonts w:ascii="Times New Roman" w:hAnsi="Times New Roman" w:cs="Times New Roman"/>
        </w:rPr>
        <w:t xml:space="preserve"> a également mentionné que, </w:t>
      </w:r>
      <w:r w:rsidR="001D7CBC" w:rsidRPr="00203891">
        <w:rPr>
          <w:rFonts w:ascii="Times New Roman" w:hAnsi="Times New Roman"/>
        </w:rPr>
        <w:t xml:space="preserve">contrairement au Groupe spécial, il ne fixait pas de hiérarchie entre les objectifs défendus par le préambule et </w:t>
      </w:r>
      <w:r w:rsidR="00877501" w:rsidRPr="00203891">
        <w:rPr>
          <w:rFonts w:ascii="Times New Roman" w:hAnsi="Times New Roman"/>
        </w:rPr>
        <w:t>se réfé</w:t>
      </w:r>
      <w:r w:rsidR="001D7CBC" w:rsidRPr="00203891">
        <w:rPr>
          <w:rFonts w:ascii="Times New Roman" w:hAnsi="Times New Roman"/>
        </w:rPr>
        <w:t>rait à la règle de l’effet utile des traités pour apprécier l’étendue de la protection nécessaire aux ressources naturelles</w:t>
      </w:r>
      <w:r w:rsidR="001D7CBC" w:rsidRPr="00203891">
        <w:rPr>
          <w:rStyle w:val="Marquenotebasdepage"/>
          <w:rFonts w:ascii="Times New Roman" w:hAnsi="Times New Roman"/>
        </w:rPr>
        <w:footnoteReference w:id="395"/>
      </w:r>
      <w:r w:rsidR="001D7CBC" w:rsidRPr="00203891">
        <w:rPr>
          <w:rFonts w:ascii="Times New Roman" w:hAnsi="Times New Roman"/>
        </w:rPr>
        <w:t xml:space="preserve">. Le rapport de l’Organe d’appel </w:t>
      </w:r>
      <w:r w:rsidR="00C1710C" w:rsidRPr="00203891">
        <w:rPr>
          <w:rFonts w:ascii="Times New Roman" w:hAnsi="Times New Roman"/>
        </w:rPr>
        <w:t>se réfère</w:t>
      </w:r>
      <w:r w:rsidR="001D7CBC" w:rsidRPr="00203891">
        <w:rPr>
          <w:rFonts w:ascii="Times New Roman" w:hAnsi="Times New Roman"/>
        </w:rPr>
        <w:t xml:space="preserve"> à l’avis consultatif de la Cour de justice</w:t>
      </w:r>
      <w:r w:rsidR="00203891" w:rsidRPr="00203891">
        <w:rPr>
          <w:rFonts w:ascii="Times New Roman" w:hAnsi="Times New Roman"/>
        </w:rPr>
        <w:t xml:space="preserve"> rendu </w:t>
      </w:r>
      <w:r w:rsidR="001D7CBC" w:rsidRPr="00203891">
        <w:rPr>
          <w:rFonts w:ascii="Times New Roman" w:hAnsi="Times New Roman"/>
        </w:rPr>
        <w:t>en 19</w:t>
      </w:r>
      <w:r w:rsidR="00203891" w:rsidRPr="00203891">
        <w:rPr>
          <w:rFonts w:ascii="Times New Roman" w:hAnsi="Times New Roman"/>
        </w:rPr>
        <w:t>71 dans l’affaire de la Namibie</w:t>
      </w:r>
      <w:r w:rsidR="001D7CBC" w:rsidRPr="00203891">
        <w:rPr>
          <w:rFonts w:ascii="Times New Roman" w:hAnsi="Times New Roman"/>
        </w:rPr>
        <w:t xml:space="preserve"> selon lequel : </w:t>
      </w:r>
      <w:r w:rsidR="001D7CBC" w:rsidRPr="00203891">
        <w:rPr>
          <w:rFonts w:ascii="Times New Roman" w:hAnsi="Times New Roman"/>
          <w:i/>
        </w:rPr>
        <w:t>« les notions consacrées par un traité sont par définition évolutives et que leur interprétation ne peut manquer de tenir compte de l’évolution que le droit a ultérieurement connue »</w:t>
      </w:r>
      <w:r w:rsidR="001D7CBC" w:rsidRPr="00203891">
        <w:rPr>
          <w:rStyle w:val="Marquenotebasdepage"/>
          <w:rFonts w:ascii="Times New Roman" w:hAnsi="Times New Roman"/>
        </w:rPr>
        <w:t xml:space="preserve"> </w:t>
      </w:r>
      <w:r w:rsidR="001D7CBC" w:rsidRPr="00203891">
        <w:rPr>
          <w:rStyle w:val="Marquenotebasdepage"/>
          <w:rFonts w:ascii="Times New Roman" w:hAnsi="Times New Roman"/>
        </w:rPr>
        <w:footnoteReference w:id="396"/>
      </w:r>
      <w:r w:rsidR="001D7CBC" w:rsidRPr="00203891">
        <w:rPr>
          <w:rFonts w:ascii="Times New Roman" w:hAnsi="Times New Roman"/>
        </w:rPr>
        <w:t>. Il convient donc d’énoncer que les conventions et les déclarations internationales modernes se réfèrent fréquemment aux ressources naturelles qu’elle</w:t>
      </w:r>
      <w:r w:rsidR="00877501" w:rsidRPr="00203891">
        <w:rPr>
          <w:rFonts w:ascii="Times New Roman" w:hAnsi="Times New Roman"/>
        </w:rPr>
        <w:t>s</w:t>
      </w:r>
      <w:r w:rsidR="001D7CBC" w:rsidRPr="00203891">
        <w:rPr>
          <w:rFonts w:ascii="Times New Roman" w:hAnsi="Times New Roman"/>
        </w:rPr>
        <w:t xml:space="preserve"> considère</w:t>
      </w:r>
      <w:r w:rsidR="00877501" w:rsidRPr="00203891">
        <w:rPr>
          <w:rFonts w:ascii="Times New Roman" w:hAnsi="Times New Roman"/>
        </w:rPr>
        <w:t>nt</w:t>
      </w:r>
      <w:r w:rsidR="001D7CBC" w:rsidRPr="00203891">
        <w:rPr>
          <w:rFonts w:ascii="Times New Roman" w:hAnsi="Times New Roman"/>
        </w:rPr>
        <w:t xml:space="preserve"> comme étant non seulement des ressources biologiques mais également non biologiques</w:t>
      </w:r>
      <w:r w:rsidR="001D7CBC" w:rsidRPr="00203891">
        <w:rPr>
          <w:rStyle w:val="Marquenotebasdepage"/>
          <w:rFonts w:ascii="Times New Roman" w:hAnsi="Times New Roman"/>
        </w:rPr>
        <w:footnoteReference w:id="397"/>
      </w:r>
      <w:r w:rsidR="001D7CBC" w:rsidRPr="00203891">
        <w:rPr>
          <w:rFonts w:ascii="Times New Roman" w:hAnsi="Times New Roman"/>
        </w:rPr>
        <w:t>.</w:t>
      </w:r>
    </w:p>
    <w:p w14:paraId="00B2D596" w14:textId="77777777" w:rsidR="001D7CBC" w:rsidRDefault="001D7CBC" w:rsidP="001D7CBC">
      <w:pPr>
        <w:spacing w:line="360" w:lineRule="auto"/>
        <w:jc w:val="both"/>
        <w:rPr>
          <w:rFonts w:ascii="Times New Roman" w:hAnsi="Times New Roman" w:cs="Times New Roman"/>
        </w:rPr>
      </w:pPr>
    </w:p>
    <w:p w14:paraId="67B89BC7" w14:textId="5BBD7B1F" w:rsidR="001D7CBC" w:rsidRDefault="001D7CBC" w:rsidP="001D7CBC">
      <w:pPr>
        <w:spacing w:line="360" w:lineRule="auto"/>
        <w:jc w:val="both"/>
        <w:rPr>
          <w:rFonts w:ascii="Times New Roman" w:hAnsi="Times New Roman" w:cs="Times New Roman"/>
        </w:rPr>
      </w:pPr>
      <w:r w:rsidRPr="00B20EE5">
        <w:rPr>
          <w:rFonts w:ascii="Times New Roman" w:hAnsi="Times New Roman"/>
        </w:rPr>
        <w:t>L’Organe d’appel mentionne qu’</w:t>
      </w:r>
      <w:r w:rsidRPr="00B20EE5">
        <w:rPr>
          <w:rFonts w:ascii="Times New Roman" w:hAnsi="Times New Roman" w:cs="Times New Roman"/>
          <w:i/>
        </w:rPr>
        <w:t>« étant donné que la communauté internationale a reconnu récemment l'importance d'une action bilatérale ou multilatérale concentrée pour protéger les ressources naturelles vivantes, et rappelant que les Membres de l'OMC ont expressément mentionné l'objectif de développement durable dans le préambule de l'Accord sur l'OMC, nous estimons qu'il est trop tard à présent pour supposer que l'article XX g) du GATT de 1994 peut être interprété comme visant uniquement la conservation des minéraux ou des autres ressources naturelles non biologiques épuisables »</w:t>
      </w:r>
      <w:r>
        <w:rPr>
          <w:rStyle w:val="Marquenotebasdepage"/>
          <w:rFonts w:ascii="Times New Roman" w:hAnsi="Times New Roman" w:cs="Times New Roman"/>
        </w:rPr>
        <w:footnoteReference w:id="398"/>
      </w:r>
      <w:r>
        <w:rPr>
          <w:rFonts w:ascii="Times New Roman" w:hAnsi="Times New Roman" w:cs="Times New Roman"/>
        </w:rPr>
        <w:t xml:space="preserve">. Il souligne également que dans les affaires </w:t>
      </w:r>
      <w:r w:rsidRPr="00B20EE5">
        <w:rPr>
          <w:rFonts w:ascii="Times New Roman" w:hAnsi="Times New Roman" w:cs="Times New Roman"/>
          <w:i/>
        </w:rPr>
        <w:t>Thon de 1982</w:t>
      </w:r>
      <w:r>
        <w:rPr>
          <w:rFonts w:ascii="Times New Roman" w:hAnsi="Times New Roman" w:cs="Times New Roman"/>
        </w:rPr>
        <w:t xml:space="preserve"> et </w:t>
      </w:r>
      <w:r w:rsidRPr="00B20EE5">
        <w:rPr>
          <w:rFonts w:ascii="Times New Roman" w:hAnsi="Times New Roman" w:cs="Times New Roman"/>
          <w:i/>
        </w:rPr>
        <w:t>Saumons/Harengs</w:t>
      </w:r>
      <w:r>
        <w:rPr>
          <w:rFonts w:ascii="Times New Roman" w:hAnsi="Times New Roman" w:cs="Times New Roman"/>
        </w:rPr>
        <w:t>, les Groupes spéciaux avaient conclu que le poisson devait être considéré comme une « ressource naturelle épuisable »</w:t>
      </w:r>
      <w:r w:rsidR="00CF4680">
        <w:rPr>
          <w:rStyle w:val="Marquenotebasdepage"/>
          <w:rFonts w:ascii="Times New Roman" w:hAnsi="Times New Roman" w:cs="Times New Roman"/>
        </w:rPr>
        <w:footnoteReference w:id="399"/>
      </w:r>
      <w:r>
        <w:rPr>
          <w:rFonts w:ascii="Times New Roman" w:hAnsi="Times New Roman" w:cs="Times New Roman"/>
        </w:rPr>
        <w:t xml:space="preserve">. </w:t>
      </w:r>
    </w:p>
    <w:p w14:paraId="303D1BA7" w14:textId="77777777" w:rsidR="001D7CBC" w:rsidRDefault="001D7CBC" w:rsidP="001D7CBC">
      <w:pPr>
        <w:spacing w:line="360" w:lineRule="auto"/>
        <w:jc w:val="both"/>
        <w:rPr>
          <w:rFonts w:ascii="Times New Roman" w:hAnsi="Times New Roman" w:cs="Times New Roman"/>
        </w:rPr>
      </w:pPr>
    </w:p>
    <w:p w14:paraId="335AAC5C" w14:textId="6DFEB458" w:rsidR="001D7CBC" w:rsidRPr="00B20EE5" w:rsidRDefault="00C1710C" w:rsidP="001D7CBC">
      <w:pPr>
        <w:spacing w:line="360" w:lineRule="auto"/>
        <w:jc w:val="both"/>
        <w:rPr>
          <w:rFonts w:ascii="Times New Roman" w:hAnsi="Times New Roman" w:cs="Times New Roman"/>
        </w:rPr>
      </w:pPr>
      <w:r>
        <w:rPr>
          <w:rFonts w:ascii="Times New Roman" w:hAnsi="Times New Roman" w:cs="Times New Roman"/>
        </w:rPr>
        <w:t>En conséquence, il a énoncé que</w:t>
      </w:r>
      <w:r w:rsidR="001D7CBC">
        <w:rPr>
          <w:rFonts w:ascii="Times New Roman" w:hAnsi="Times New Roman" w:cs="Times New Roman"/>
        </w:rPr>
        <w:t xml:space="preserve"> les mesures visant à conserver les ressources naturelles épuisables, qu’elles so</w:t>
      </w:r>
      <w:r w:rsidR="00BD4830">
        <w:rPr>
          <w:rFonts w:ascii="Times New Roman" w:hAnsi="Times New Roman" w:cs="Times New Roman"/>
        </w:rPr>
        <w:t>ient biologiques ou</w:t>
      </w:r>
      <w:r w:rsidR="001D7CBC">
        <w:rPr>
          <w:rFonts w:ascii="Times New Roman" w:hAnsi="Times New Roman" w:cs="Times New Roman"/>
        </w:rPr>
        <w:t xml:space="preserve"> non biologiques, entraient dans le champ des dispositions justificatives de l’article XX </w:t>
      </w:r>
      <w:r w:rsidR="001D7CBC" w:rsidRPr="00563D87">
        <w:rPr>
          <w:rFonts w:ascii="Times New Roman" w:hAnsi="Times New Roman" w:cs="Times New Roman"/>
          <w:i/>
        </w:rPr>
        <w:t>g)</w:t>
      </w:r>
      <w:r w:rsidR="001D7CBC">
        <w:rPr>
          <w:rStyle w:val="Marquenotebasdepage"/>
          <w:rFonts w:ascii="Times New Roman" w:hAnsi="Times New Roman" w:cs="Times New Roman"/>
        </w:rPr>
        <w:footnoteReference w:id="400"/>
      </w:r>
      <w:r w:rsidR="001D7CBC">
        <w:rPr>
          <w:rFonts w:ascii="Times New Roman" w:hAnsi="Times New Roman" w:cs="Times New Roman"/>
        </w:rPr>
        <w:t xml:space="preserve">. Il a également ajouté à cette constatation que les cinq espèces de tortues marines visées dans le différend doivent être considérées comme des « ressources naturelles épuisables » au titre de l’article XX </w:t>
      </w:r>
      <w:r w:rsidR="001D7CBC" w:rsidRPr="00B20EE5">
        <w:rPr>
          <w:rFonts w:ascii="Times New Roman" w:hAnsi="Times New Roman" w:cs="Times New Roman"/>
          <w:i/>
        </w:rPr>
        <w:t>g)</w:t>
      </w:r>
      <w:r w:rsidR="001D7CBC">
        <w:rPr>
          <w:rStyle w:val="Marquenotebasdepage"/>
          <w:rFonts w:ascii="Times New Roman" w:hAnsi="Times New Roman" w:cs="Times New Roman"/>
        </w:rPr>
        <w:footnoteReference w:id="401"/>
      </w:r>
      <w:r w:rsidR="001D7CBC">
        <w:rPr>
          <w:rFonts w:ascii="Times New Roman" w:hAnsi="Times New Roman" w:cs="Times New Roman"/>
        </w:rPr>
        <w:t xml:space="preserve"> étant donné qu’elles sont toutes menacées d’extinction</w:t>
      </w:r>
      <w:r w:rsidR="001D7CBC">
        <w:rPr>
          <w:rStyle w:val="Marquenotebasdepage"/>
          <w:rFonts w:ascii="Times New Roman" w:hAnsi="Times New Roman" w:cs="Times New Roman"/>
        </w:rPr>
        <w:footnoteReference w:id="402"/>
      </w:r>
      <w:r w:rsidR="001D7CBC">
        <w:rPr>
          <w:rFonts w:ascii="Times New Roman" w:hAnsi="Times New Roman" w:cs="Times New Roman"/>
        </w:rPr>
        <w:t>.</w:t>
      </w:r>
    </w:p>
    <w:p w14:paraId="79E3F868" w14:textId="77777777" w:rsidR="001D7CBC" w:rsidRDefault="001D7CBC" w:rsidP="003A3574">
      <w:pPr>
        <w:spacing w:line="360" w:lineRule="auto"/>
        <w:jc w:val="both"/>
        <w:rPr>
          <w:rFonts w:ascii="Times New Roman" w:hAnsi="Times New Roman"/>
        </w:rPr>
      </w:pPr>
    </w:p>
    <w:p w14:paraId="0716C822" w14:textId="77777777" w:rsidR="003A3574" w:rsidRPr="00C83DF9" w:rsidRDefault="003A3574" w:rsidP="001D2870">
      <w:pPr>
        <w:pStyle w:val="Paragraphedeliste"/>
        <w:numPr>
          <w:ilvl w:val="0"/>
          <w:numId w:val="15"/>
        </w:numPr>
        <w:spacing w:line="360" w:lineRule="auto"/>
        <w:jc w:val="both"/>
        <w:rPr>
          <w:rFonts w:ascii="Times New Roman" w:hAnsi="Times New Roman" w:cs="Times New Roman"/>
          <w:b/>
          <w:i/>
        </w:rPr>
      </w:pPr>
      <w:r w:rsidRPr="00FE635C">
        <w:rPr>
          <w:rFonts w:ascii="Times New Roman" w:hAnsi="Times New Roman" w:cs="Times New Roman"/>
          <w:b/>
        </w:rPr>
        <w:t xml:space="preserve">Mesures devant être justifiée au regard de l’article XX </w:t>
      </w:r>
      <w:r w:rsidRPr="00C83DF9">
        <w:rPr>
          <w:rFonts w:ascii="Times New Roman" w:hAnsi="Times New Roman" w:cs="Times New Roman"/>
          <w:b/>
          <w:i/>
        </w:rPr>
        <w:t>g)</w:t>
      </w:r>
    </w:p>
    <w:p w14:paraId="1008673E" w14:textId="255A2E75" w:rsidR="003A3574" w:rsidRDefault="003A3574" w:rsidP="003A3574">
      <w:pPr>
        <w:spacing w:line="360" w:lineRule="auto"/>
        <w:jc w:val="both"/>
        <w:rPr>
          <w:rFonts w:ascii="Times New Roman" w:hAnsi="Times New Roman" w:cs="Times New Roman"/>
        </w:rPr>
      </w:pPr>
      <w:r>
        <w:rPr>
          <w:rFonts w:ascii="Times New Roman" w:hAnsi="Times New Roman" w:cs="Times New Roman"/>
        </w:rPr>
        <w:t xml:space="preserve">Dans l’affaire </w:t>
      </w:r>
      <w:r w:rsidRPr="00E041D5">
        <w:rPr>
          <w:rFonts w:ascii="Times New Roman" w:hAnsi="Times New Roman" w:cs="Times New Roman"/>
          <w:i/>
        </w:rPr>
        <w:t>Thon I</w:t>
      </w:r>
      <w:r>
        <w:rPr>
          <w:rFonts w:ascii="Times New Roman" w:hAnsi="Times New Roman" w:cs="Times New Roman"/>
        </w:rPr>
        <w:t>,</w:t>
      </w:r>
      <w:r w:rsidR="0010586A">
        <w:rPr>
          <w:rFonts w:ascii="Times New Roman" w:hAnsi="Times New Roman" w:cs="Times New Roman"/>
        </w:rPr>
        <w:t xml:space="preserve"> le Groupe spécial a énoncé que</w:t>
      </w:r>
      <w:r w:rsidRPr="0010586A">
        <w:rPr>
          <w:rFonts w:ascii="Times New Roman" w:hAnsi="Times New Roman" w:cs="Times New Roman"/>
        </w:rPr>
        <w:t xml:space="preserve"> les conditions énoncées à l’article XX </w:t>
      </w:r>
      <w:r w:rsidRPr="0010586A">
        <w:rPr>
          <w:rFonts w:ascii="Times New Roman" w:hAnsi="Times New Roman" w:cs="Times New Roman"/>
          <w:i/>
        </w:rPr>
        <w:t>g)</w:t>
      </w:r>
      <w:r w:rsidRPr="0010586A">
        <w:rPr>
          <w:rFonts w:ascii="Times New Roman" w:hAnsi="Times New Roman" w:cs="Times New Roman"/>
        </w:rPr>
        <w:t xml:space="preserve"> qui limitent le recours à cette exception, à savoir que les mesures prises doivent</w:t>
      </w:r>
      <w:r w:rsidRPr="0010586A">
        <w:rPr>
          <w:rFonts w:ascii="Times New Roman" w:hAnsi="Times New Roman" w:cs="Times New Roman"/>
          <w:i/>
        </w:rPr>
        <w:t xml:space="preserve"> </w:t>
      </w:r>
      <w:r w:rsidR="0010586A">
        <w:rPr>
          <w:rFonts w:ascii="Times New Roman" w:hAnsi="Times New Roman" w:cs="Times New Roman"/>
          <w:i/>
        </w:rPr>
        <w:t>« </w:t>
      </w:r>
      <w:r w:rsidRPr="0010586A">
        <w:rPr>
          <w:rFonts w:ascii="Times New Roman" w:hAnsi="Times New Roman" w:cs="Times New Roman"/>
          <w:i/>
        </w:rPr>
        <w:t>se rapporter à la conservation de ressources naturelles épuisables et ne pas « constituer, soit un moyen de discrimination arbitraire ou injustifié… soit une restriction déguisée au commerce international </w:t>
      </w:r>
      <w:r w:rsidRPr="0010586A">
        <w:rPr>
          <w:rFonts w:ascii="Times New Roman" w:hAnsi="Times New Roman" w:cs="Times New Roman"/>
        </w:rPr>
        <w:t>»</w:t>
      </w:r>
      <w:r w:rsidR="0010586A">
        <w:rPr>
          <w:rStyle w:val="Marquenotebasdepage"/>
          <w:rFonts w:ascii="Times New Roman" w:hAnsi="Times New Roman" w:cs="Times New Roman"/>
        </w:rPr>
        <w:footnoteReference w:id="403"/>
      </w:r>
      <w:r w:rsidRPr="0010586A">
        <w:rPr>
          <w:rFonts w:ascii="Times New Roman" w:hAnsi="Times New Roman" w:cs="Times New Roman"/>
        </w:rPr>
        <w:t xml:space="preserve">, </w:t>
      </w:r>
      <w:r w:rsidR="0010586A">
        <w:rPr>
          <w:rFonts w:ascii="Times New Roman" w:hAnsi="Times New Roman" w:cs="Times New Roman"/>
        </w:rPr>
        <w:t xml:space="preserve">ne </w:t>
      </w:r>
      <w:r w:rsidRPr="0010586A">
        <w:rPr>
          <w:rFonts w:ascii="Times New Roman" w:hAnsi="Times New Roman" w:cs="Times New Roman"/>
        </w:rPr>
        <w:t>visent</w:t>
      </w:r>
      <w:r w:rsidR="0010586A">
        <w:rPr>
          <w:rFonts w:ascii="Times New Roman" w:hAnsi="Times New Roman" w:cs="Times New Roman"/>
        </w:rPr>
        <w:t xml:space="preserve"> pas les </w:t>
      </w:r>
      <w:r w:rsidR="0010586A" w:rsidRPr="0010586A">
        <w:rPr>
          <w:rFonts w:ascii="Times New Roman" w:hAnsi="Times New Roman" w:cs="Times New Roman"/>
        </w:rPr>
        <w:t>politiques adoptées en matière de conservation par la partie contractante concernée</w:t>
      </w:r>
      <w:r w:rsidR="0010586A" w:rsidRPr="0010586A">
        <w:rPr>
          <w:rFonts w:ascii="Times New Roman" w:hAnsi="Times New Roman" w:cs="Times New Roman"/>
          <w:i/>
        </w:rPr>
        <w:t> </w:t>
      </w:r>
      <w:r w:rsidR="0010586A">
        <w:rPr>
          <w:rFonts w:ascii="Times New Roman" w:hAnsi="Times New Roman" w:cs="Times New Roman"/>
        </w:rPr>
        <w:t>mais bien</w:t>
      </w:r>
      <w:r w:rsidRPr="0010586A">
        <w:rPr>
          <w:rFonts w:ascii="Times New Roman" w:hAnsi="Times New Roman" w:cs="Times New Roman"/>
        </w:rPr>
        <w:t xml:space="preserve"> la mesure commerciale qui doit être justifi</w:t>
      </w:r>
      <w:r w:rsidR="0010586A">
        <w:rPr>
          <w:rFonts w:ascii="Times New Roman" w:hAnsi="Times New Roman" w:cs="Times New Roman"/>
        </w:rPr>
        <w:t>ée au regard de cet article</w:t>
      </w:r>
      <w:r>
        <w:rPr>
          <w:rStyle w:val="Marquenotebasdepage"/>
          <w:rFonts w:ascii="Times New Roman" w:hAnsi="Times New Roman" w:cs="Times New Roman"/>
        </w:rPr>
        <w:footnoteReference w:id="404"/>
      </w:r>
      <w:r>
        <w:rPr>
          <w:rFonts w:ascii="Times New Roman" w:hAnsi="Times New Roman" w:cs="Times New Roman"/>
        </w:rPr>
        <w:t>.</w:t>
      </w:r>
    </w:p>
    <w:p w14:paraId="2D6D736A" w14:textId="77777777" w:rsidR="003A3574" w:rsidRDefault="003A3574" w:rsidP="003A3574">
      <w:pPr>
        <w:spacing w:line="360" w:lineRule="auto"/>
        <w:jc w:val="both"/>
        <w:rPr>
          <w:rFonts w:ascii="Times New Roman" w:hAnsi="Times New Roman" w:cs="Times New Roman"/>
        </w:rPr>
      </w:pPr>
    </w:p>
    <w:p w14:paraId="581B171F" w14:textId="35DC33D6" w:rsidR="00AD0516" w:rsidRDefault="00AD0516" w:rsidP="00AD0516">
      <w:pPr>
        <w:spacing w:line="360" w:lineRule="auto"/>
        <w:jc w:val="both"/>
        <w:rPr>
          <w:rFonts w:ascii="Times New Roman" w:hAnsi="Times New Roman" w:cs="Times New Roman"/>
        </w:rPr>
      </w:pPr>
      <w:r>
        <w:rPr>
          <w:rFonts w:ascii="Times New Roman" w:hAnsi="Times New Roman" w:cs="Times New Roman"/>
        </w:rPr>
        <w:t xml:space="preserve">Dans l’affaire </w:t>
      </w:r>
      <w:r w:rsidRPr="00F12865">
        <w:rPr>
          <w:rFonts w:ascii="Times New Roman" w:hAnsi="Times New Roman" w:cs="Times New Roman"/>
          <w:i/>
        </w:rPr>
        <w:t>Essence</w:t>
      </w:r>
      <w:r>
        <w:rPr>
          <w:rFonts w:ascii="Times New Roman" w:hAnsi="Times New Roman" w:cs="Times New Roman"/>
        </w:rPr>
        <w:t>, l’Organe d’appel a modifié la pratique selon laquelle les incohérences constatées au titre d’autres dispositions du GATT étaient examinées au regard de l’article XX</w:t>
      </w:r>
      <w:r>
        <w:rPr>
          <w:rStyle w:val="Marquenotebasdepage"/>
          <w:rFonts w:ascii="Times New Roman" w:hAnsi="Times New Roman" w:cs="Times New Roman"/>
        </w:rPr>
        <w:footnoteReference w:id="405"/>
      </w:r>
      <w:r>
        <w:rPr>
          <w:rFonts w:ascii="Times New Roman" w:hAnsi="Times New Roman" w:cs="Times New Roman"/>
        </w:rPr>
        <w:t xml:space="preserve">. </w:t>
      </w:r>
      <w:r w:rsidRPr="00F11F13">
        <w:rPr>
          <w:rFonts w:ascii="Times New Roman" w:hAnsi="Times New Roman" w:cs="Times New Roman"/>
        </w:rPr>
        <w:t xml:space="preserve">Dans cette affaire, le Groupe spécial </w:t>
      </w:r>
      <w:r>
        <w:rPr>
          <w:rFonts w:ascii="Times New Roman" w:hAnsi="Times New Roman" w:cs="Times New Roman"/>
        </w:rPr>
        <w:t xml:space="preserve">devait examiner </w:t>
      </w:r>
      <w:r w:rsidRPr="00424ACE">
        <w:rPr>
          <w:rFonts w:ascii="Times New Roman" w:hAnsi="Times New Roman" w:cs="Times New Roman"/>
        </w:rPr>
        <w:t xml:space="preserve">si les méthodes d’établissement des niveaux de base moins </w:t>
      </w:r>
      <w:r w:rsidRPr="00203891">
        <w:rPr>
          <w:rFonts w:ascii="Times New Roman" w:hAnsi="Times New Roman" w:cs="Times New Roman"/>
        </w:rPr>
        <w:t>favorables issues de la réglementation sur l’essence qui avaient</w:t>
      </w:r>
      <w:r w:rsidRPr="00424ACE">
        <w:rPr>
          <w:rFonts w:ascii="Times New Roman" w:hAnsi="Times New Roman" w:cs="Times New Roman"/>
        </w:rPr>
        <w:t xml:space="preserve"> un effet négatif sur les conditions de co</w:t>
      </w:r>
      <w:r>
        <w:rPr>
          <w:rFonts w:ascii="Times New Roman" w:hAnsi="Times New Roman" w:cs="Times New Roman"/>
        </w:rPr>
        <w:t>ncurrence de l’essence importée</w:t>
      </w:r>
      <w:r w:rsidRPr="00424ACE">
        <w:rPr>
          <w:rFonts w:ascii="Times New Roman" w:hAnsi="Times New Roman" w:cs="Times New Roman"/>
        </w:rPr>
        <w:t xml:space="preserve"> visaient principalement à la conservation des </w:t>
      </w:r>
      <w:r w:rsidRPr="00DC664E">
        <w:rPr>
          <w:rFonts w:ascii="Times New Roman" w:hAnsi="Times New Roman" w:cs="Times New Roman"/>
        </w:rPr>
        <w:t>ressources naturelles </w:t>
      </w:r>
      <w:r w:rsidRPr="00DC664E">
        <w:rPr>
          <w:rStyle w:val="Marquenotebasdepage"/>
          <w:rFonts w:ascii="Times New Roman" w:hAnsi="Times New Roman" w:cs="Times New Roman"/>
        </w:rPr>
        <w:footnoteReference w:id="406"/>
      </w:r>
      <w:r w:rsidRPr="00DC664E">
        <w:rPr>
          <w:rFonts w:ascii="Times New Roman" w:hAnsi="Times New Roman" w:cs="Times New Roman"/>
        </w:rPr>
        <w:t xml:space="preserve">. En l’espèce, il avait conclu que ces méthodes d’établissement </w:t>
      </w:r>
      <w:r w:rsidRPr="00DC664E">
        <w:rPr>
          <w:rFonts w:ascii="Times New Roman" w:hAnsi="Times New Roman"/>
        </w:rPr>
        <w:t>étaient incompatibles avec l’article III§4 du GATT</w:t>
      </w:r>
      <w:r>
        <w:rPr>
          <w:rStyle w:val="Marquenotebasdepage"/>
          <w:rFonts w:ascii="Times New Roman" w:hAnsi="Times New Roman"/>
        </w:rPr>
        <w:footnoteReference w:id="407"/>
      </w:r>
      <w:r w:rsidRPr="00DC664E">
        <w:rPr>
          <w:rFonts w:ascii="Times New Roman" w:hAnsi="Times New Roman"/>
        </w:rPr>
        <w:t>.</w:t>
      </w:r>
    </w:p>
    <w:p w14:paraId="2252D4C8" w14:textId="77777777" w:rsidR="00AD0516" w:rsidRPr="00EA106B" w:rsidRDefault="00AD0516" w:rsidP="00AD0516">
      <w:pPr>
        <w:spacing w:line="360" w:lineRule="auto"/>
        <w:jc w:val="both"/>
        <w:rPr>
          <w:rFonts w:ascii="Times New Roman" w:hAnsi="Times New Roman"/>
          <w:highlight w:val="cyan"/>
        </w:rPr>
      </w:pPr>
    </w:p>
    <w:p w14:paraId="5EB9D24C" w14:textId="0200B0E4" w:rsidR="00AD0516" w:rsidRDefault="00AD0516" w:rsidP="00AD0516">
      <w:pPr>
        <w:spacing w:line="360" w:lineRule="auto"/>
        <w:jc w:val="both"/>
        <w:rPr>
          <w:rFonts w:ascii="Times New Roman" w:hAnsi="Times New Roman" w:cs="Times New Roman"/>
        </w:rPr>
      </w:pPr>
      <w:r w:rsidRPr="00DC664E">
        <w:rPr>
          <w:rFonts w:ascii="Times New Roman" w:hAnsi="Times New Roman"/>
        </w:rPr>
        <w:t>D’après l’Organe d’appel, le Groupe spécial a commis une erreur</w:t>
      </w:r>
      <w:r w:rsidRPr="00AD0516">
        <w:rPr>
          <w:rStyle w:val="Marquenotebasdepage"/>
          <w:rFonts w:ascii="Times New Roman" w:hAnsi="Times New Roman"/>
          <w:i/>
        </w:rPr>
        <w:footnoteReference w:id="408"/>
      </w:r>
      <w:r w:rsidRPr="00AD0516">
        <w:rPr>
          <w:rFonts w:ascii="Times New Roman" w:hAnsi="Times New Roman"/>
        </w:rPr>
        <w:t xml:space="preserve"> en considérant que l’examen de la réglementation sur l’essence portait uniquement sur les dispositions contraires à l’article III§4 alors qu</w:t>
      </w:r>
      <w:r w:rsidR="00C1710C">
        <w:rPr>
          <w:rFonts w:ascii="Times New Roman" w:hAnsi="Times New Roman"/>
        </w:rPr>
        <w:t>’il aurait dû</w:t>
      </w:r>
      <w:r w:rsidRPr="00AD0516">
        <w:rPr>
          <w:rFonts w:ascii="Times New Roman" w:hAnsi="Times New Roman"/>
        </w:rPr>
        <w:t xml:space="preserve"> porter sur l’intégralité de la réglementation au titre de l’article XX </w:t>
      </w:r>
      <w:r w:rsidRPr="00AD0516">
        <w:rPr>
          <w:rFonts w:ascii="Times New Roman" w:hAnsi="Times New Roman"/>
          <w:i/>
        </w:rPr>
        <w:t>g)</w:t>
      </w:r>
      <w:r w:rsidRPr="00AD0516">
        <w:rPr>
          <w:rStyle w:val="Marquenotebasdepage"/>
          <w:rFonts w:ascii="Times New Roman" w:hAnsi="Times New Roman"/>
          <w:i/>
        </w:rPr>
        <w:footnoteReference w:id="409"/>
      </w:r>
      <w:r w:rsidRPr="00AD0516">
        <w:rPr>
          <w:rFonts w:ascii="Times New Roman" w:hAnsi="Times New Roman"/>
        </w:rPr>
        <w:t xml:space="preserve">. </w:t>
      </w:r>
      <w:r w:rsidRPr="00AD0516">
        <w:rPr>
          <w:rFonts w:ascii="Times New Roman" w:hAnsi="Times New Roman" w:cs="Times New Roman"/>
        </w:rPr>
        <w:t>Le fait de s’être référé à la conclusion juridique relative à l’article III§4 au lieu de se référer à la mesure a eu pour r</w:t>
      </w:r>
      <w:r>
        <w:rPr>
          <w:rFonts w:ascii="Times New Roman" w:hAnsi="Times New Roman" w:cs="Times New Roman"/>
        </w:rPr>
        <w:t>ésultat de renverser l’article XX</w:t>
      </w:r>
      <w:r>
        <w:rPr>
          <w:rStyle w:val="Marquenotebasdepage"/>
          <w:rFonts w:ascii="Times New Roman" w:hAnsi="Times New Roman" w:cs="Times New Roman"/>
        </w:rPr>
        <w:footnoteReference w:id="410"/>
      </w:r>
      <w:r>
        <w:rPr>
          <w:rFonts w:ascii="Times New Roman" w:hAnsi="Times New Roman" w:cs="Times New Roman"/>
        </w:rPr>
        <w:t xml:space="preserve">. Ainsi, le </w:t>
      </w:r>
      <w:r w:rsidR="00C1710C">
        <w:rPr>
          <w:rFonts w:ascii="Times New Roman" w:hAnsi="Times New Roman" w:cs="Times New Roman"/>
        </w:rPr>
        <w:t>Groupe spécial aurait d’abord dû</w:t>
      </w:r>
      <w:r>
        <w:rPr>
          <w:rFonts w:ascii="Times New Roman" w:hAnsi="Times New Roman" w:cs="Times New Roman"/>
        </w:rPr>
        <w:t xml:space="preserve"> constater que la mesure accordait un traitement moins favorable au titre de l’article III§4 avant d’examiner les exceptions générales issues de l’article XX</w:t>
      </w:r>
      <w:r>
        <w:rPr>
          <w:rStyle w:val="Marquenotebasdepage"/>
          <w:rFonts w:ascii="Times New Roman" w:hAnsi="Times New Roman" w:cs="Times New Roman"/>
        </w:rPr>
        <w:footnoteReference w:id="411"/>
      </w:r>
      <w:r>
        <w:rPr>
          <w:rFonts w:ascii="Times New Roman" w:hAnsi="Times New Roman" w:cs="Times New Roman"/>
        </w:rPr>
        <w:t xml:space="preserve">. D’ailleurs, le préambule de l’article XX mentionne de manière claire que ce sont les « mesures » qui doivent être examinées au titre de l’article XX </w:t>
      </w:r>
      <w:r w:rsidRPr="00854A80">
        <w:rPr>
          <w:rFonts w:ascii="Times New Roman" w:hAnsi="Times New Roman" w:cs="Times New Roman"/>
          <w:i/>
        </w:rPr>
        <w:t>g)</w:t>
      </w:r>
      <w:r>
        <w:rPr>
          <w:rFonts w:ascii="Times New Roman" w:hAnsi="Times New Roman" w:cs="Times New Roman"/>
        </w:rPr>
        <w:t xml:space="preserve"> et non la constatation juridique d’un « traitement moins favorable »</w:t>
      </w:r>
      <w:r>
        <w:rPr>
          <w:rStyle w:val="Marquenotebasdepage"/>
          <w:rFonts w:ascii="Times New Roman" w:hAnsi="Times New Roman" w:cs="Times New Roman"/>
        </w:rPr>
        <w:footnoteReference w:id="412"/>
      </w:r>
      <w:r>
        <w:rPr>
          <w:rFonts w:ascii="Times New Roman" w:hAnsi="Times New Roman" w:cs="Times New Roman"/>
        </w:rPr>
        <w:t>.</w:t>
      </w:r>
    </w:p>
    <w:p w14:paraId="214BEA15" w14:textId="77777777" w:rsidR="00AD0516" w:rsidRDefault="00AD0516" w:rsidP="003A3574">
      <w:pPr>
        <w:spacing w:line="360" w:lineRule="auto"/>
        <w:jc w:val="both"/>
        <w:rPr>
          <w:rFonts w:ascii="Times New Roman" w:hAnsi="Times New Roman" w:cs="Times New Roman"/>
        </w:rPr>
      </w:pPr>
    </w:p>
    <w:p w14:paraId="0A373754" w14:textId="2BD603DB" w:rsidR="00ED4DAC" w:rsidRPr="00203891" w:rsidRDefault="00ED4DAC" w:rsidP="00203891">
      <w:pPr>
        <w:pStyle w:val="Paragraphedeliste"/>
        <w:numPr>
          <w:ilvl w:val="0"/>
          <w:numId w:val="15"/>
        </w:numPr>
        <w:spacing w:line="360" w:lineRule="auto"/>
        <w:jc w:val="both"/>
        <w:rPr>
          <w:rFonts w:ascii="Times New Roman" w:hAnsi="Times New Roman" w:cs="Times New Roman"/>
          <w:b/>
        </w:rPr>
      </w:pPr>
      <w:r w:rsidRPr="00EA106B">
        <w:rPr>
          <w:rFonts w:ascii="Times New Roman" w:hAnsi="Times New Roman" w:cs="Times New Roman"/>
          <w:b/>
        </w:rPr>
        <w:t>« se rapportant à… »</w:t>
      </w:r>
    </w:p>
    <w:p w14:paraId="136A1CC9" w14:textId="68D15CBA" w:rsidR="00500567" w:rsidRDefault="00ED4DAC" w:rsidP="00ED4DAC">
      <w:pPr>
        <w:spacing w:line="360" w:lineRule="auto"/>
        <w:jc w:val="both"/>
        <w:rPr>
          <w:rFonts w:ascii="Times New Roman" w:hAnsi="Times New Roman" w:cs="Times New Roman"/>
        </w:rPr>
      </w:pPr>
      <w:r>
        <w:rPr>
          <w:rFonts w:ascii="Times New Roman" w:hAnsi="Times New Roman" w:cs="Times New Roman"/>
        </w:rPr>
        <w:t xml:space="preserve">Il faut souligner que le concept « se rapportant à » a été appliqué pour la première fois dans l’affaire </w:t>
      </w:r>
      <w:r w:rsidRPr="00D62902">
        <w:rPr>
          <w:rFonts w:ascii="Times New Roman" w:hAnsi="Times New Roman" w:cs="Times New Roman"/>
          <w:i/>
        </w:rPr>
        <w:t>Saumons/Harengs</w:t>
      </w:r>
      <w:r w:rsidR="00633E84">
        <w:rPr>
          <w:rStyle w:val="Marquenotebasdepage"/>
          <w:rFonts w:ascii="Times New Roman" w:hAnsi="Times New Roman" w:cs="Times New Roman"/>
          <w:i/>
        </w:rPr>
        <w:footnoteReference w:id="413"/>
      </w:r>
      <w:r>
        <w:rPr>
          <w:rFonts w:ascii="Times New Roman" w:hAnsi="Times New Roman" w:cs="Times New Roman"/>
        </w:rPr>
        <w:t xml:space="preserve">. </w:t>
      </w:r>
      <w:r w:rsidR="00111226">
        <w:rPr>
          <w:rFonts w:ascii="Times New Roman" w:hAnsi="Times New Roman" w:cs="Times New Roman"/>
        </w:rPr>
        <w:t xml:space="preserve">Dans l’affaire </w:t>
      </w:r>
      <w:r w:rsidR="00111226" w:rsidRPr="006D5DAE">
        <w:rPr>
          <w:rFonts w:ascii="Times New Roman" w:hAnsi="Times New Roman" w:cs="Times New Roman"/>
          <w:i/>
        </w:rPr>
        <w:t>Thon 1982</w:t>
      </w:r>
      <w:r w:rsidR="00111226">
        <w:rPr>
          <w:rFonts w:ascii="Times New Roman" w:hAnsi="Times New Roman" w:cs="Times New Roman"/>
        </w:rPr>
        <w:t>, les termes « se rapportant à » et « conjointement avec » n’avaient pas fait l’objet d’une interprétation</w:t>
      </w:r>
      <w:r w:rsidR="00111226">
        <w:rPr>
          <w:rStyle w:val="Marquenotebasdepage"/>
          <w:rFonts w:ascii="Times New Roman" w:hAnsi="Times New Roman" w:cs="Times New Roman"/>
        </w:rPr>
        <w:footnoteReference w:id="414"/>
      </w:r>
      <w:r w:rsidR="00111226">
        <w:rPr>
          <w:rFonts w:ascii="Times New Roman" w:hAnsi="Times New Roman" w:cs="Times New Roman"/>
        </w:rPr>
        <w:t xml:space="preserve">. En effet, le Groupe spécial avait constaté que la partie qui invoquait l’article XX </w:t>
      </w:r>
      <w:r w:rsidR="00111226" w:rsidRPr="006D5DAE">
        <w:rPr>
          <w:rFonts w:ascii="Times New Roman" w:hAnsi="Times New Roman" w:cs="Times New Roman"/>
          <w:i/>
        </w:rPr>
        <w:t>g)</w:t>
      </w:r>
      <w:r w:rsidR="00111226">
        <w:rPr>
          <w:rFonts w:ascii="Times New Roman" w:hAnsi="Times New Roman" w:cs="Times New Roman"/>
        </w:rPr>
        <w:t xml:space="preserve"> n’appliquait pas de restrictions à la production ou à consommation de thon de sorte que </w:t>
      </w:r>
      <w:r w:rsidR="00C1710C">
        <w:rPr>
          <w:rFonts w:ascii="Times New Roman" w:hAnsi="Times New Roman" w:cs="Times New Roman"/>
        </w:rPr>
        <w:t>le Groupe spécial n’avait pas dû</w:t>
      </w:r>
      <w:r w:rsidR="00111226">
        <w:rPr>
          <w:rFonts w:ascii="Times New Roman" w:hAnsi="Times New Roman" w:cs="Times New Roman"/>
        </w:rPr>
        <w:t xml:space="preserve"> interpréter les notions « se rapportant à » et « conjointement avec »</w:t>
      </w:r>
      <w:r w:rsidR="00111226">
        <w:rPr>
          <w:rStyle w:val="Marquenotebasdepage"/>
          <w:rFonts w:ascii="Times New Roman" w:hAnsi="Times New Roman" w:cs="Times New Roman"/>
        </w:rPr>
        <w:footnoteReference w:id="415"/>
      </w:r>
      <w:r w:rsidR="00111226">
        <w:rPr>
          <w:rFonts w:ascii="Times New Roman" w:hAnsi="Times New Roman" w:cs="Times New Roman"/>
        </w:rPr>
        <w:t>.</w:t>
      </w:r>
    </w:p>
    <w:p w14:paraId="6376CC97" w14:textId="0A036CC5" w:rsidR="00004E6E" w:rsidRDefault="00004E6E" w:rsidP="00004E6E">
      <w:pPr>
        <w:spacing w:line="360" w:lineRule="auto"/>
        <w:jc w:val="both"/>
        <w:rPr>
          <w:rFonts w:ascii="Times New Roman" w:hAnsi="Times New Roman" w:cs="Times New Roman"/>
        </w:rPr>
      </w:pPr>
      <w:r>
        <w:rPr>
          <w:rFonts w:ascii="Times New Roman" w:hAnsi="Times New Roman" w:cs="Times New Roman"/>
        </w:rPr>
        <w:t>Dans l’affaire</w:t>
      </w:r>
      <w:r w:rsidRPr="00500567">
        <w:rPr>
          <w:rFonts w:ascii="Times New Roman" w:hAnsi="Times New Roman" w:cs="Times New Roman"/>
          <w:i/>
        </w:rPr>
        <w:t xml:space="preserve"> </w:t>
      </w:r>
      <w:r w:rsidRPr="00D62902">
        <w:rPr>
          <w:rFonts w:ascii="Times New Roman" w:hAnsi="Times New Roman" w:cs="Times New Roman"/>
          <w:i/>
        </w:rPr>
        <w:t>Saumons/Harengs</w:t>
      </w:r>
      <w:r>
        <w:rPr>
          <w:rFonts w:ascii="Times New Roman" w:hAnsi="Times New Roman" w:cs="Times New Roman"/>
        </w:rPr>
        <w:t>, le Groupe spécial a considéré d’une part, que les stocks de saumons et de harengs étaient des « ressources naturelles épuisables »</w:t>
      </w:r>
      <w:r>
        <w:rPr>
          <w:rStyle w:val="Marquenotebasdepage"/>
          <w:rFonts w:ascii="Times New Roman" w:hAnsi="Times New Roman" w:cs="Times New Roman"/>
        </w:rPr>
        <w:footnoteReference w:id="416"/>
      </w:r>
      <w:r>
        <w:rPr>
          <w:rFonts w:ascii="Times New Roman" w:hAnsi="Times New Roman" w:cs="Times New Roman"/>
        </w:rPr>
        <w:t>, et d’autre part, que les restrictions à l’exploitation étaient des « restrictions à la production nationale »</w:t>
      </w:r>
      <w:r>
        <w:rPr>
          <w:rStyle w:val="Marquenotebasdepage"/>
          <w:rFonts w:ascii="Times New Roman" w:hAnsi="Times New Roman" w:cs="Times New Roman"/>
        </w:rPr>
        <w:footnoteReference w:id="417"/>
      </w:r>
      <w:r>
        <w:rPr>
          <w:rFonts w:ascii="Times New Roman" w:hAnsi="Times New Roman" w:cs="Times New Roman"/>
        </w:rPr>
        <w:t>.  Le Groupe spécial s’est ensuite demandé si les interdictions à l’exportation décrétées par le Canada pour certains saumons non préparés et pour le hareng non préparé étaient des mesures « se rapportant à » la conservation des stocks de saumons et de harengs</w:t>
      </w:r>
      <w:r>
        <w:rPr>
          <w:rStyle w:val="Marquenotebasdepage"/>
          <w:rFonts w:ascii="Times New Roman" w:hAnsi="Times New Roman" w:cs="Times New Roman"/>
        </w:rPr>
        <w:footnoteReference w:id="418"/>
      </w:r>
      <w:r>
        <w:rPr>
          <w:rFonts w:ascii="Times New Roman" w:hAnsi="Times New Roman" w:cs="Times New Roman"/>
        </w:rPr>
        <w:t xml:space="preserve">. </w:t>
      </w:r>
      <w:r>
        <w:rPr>
          <w:rFonts w:ascii="Times New Roman" w:hAnsi="Times New Roman"/>
        </w:rPr>
        <w:t>Cette troisième condition concernait la détermination du rapport entre les mesures commerciales de conservation et les restrictions à la production nationale</w:t>
      </w:r>
      <w:r>
        <w:rPr>
          <w:rStyle w:val="Marquenotebasdepage"/>
          <w:rFonts w:ascii="Times New Roman" w:hAnsi="Times New Roman"/>
        </w:rPr>
        <w:footnoteReference w:id="419"/>
      </w:r>
      <w:r>
        <w:rPr>
          <w:rFonts w:ascii="Times New Roman" w:hAnsi="Times New Roman"/>
        </w:rPr>
        <w:t xml:space="preserve">. </w:t>
      </w:r>
      <w:r>
        <w:rPr>
          <w:rFonts w:ascii="Times New Roman" w:hAnsi="Times New Roman" w:cs="Times New Roman"/>
        </w:rPr>
        <w:t xml:space="preserve">Dans son rapport, le Groupe spécial a considéré que l’article XX </w:t>
      </w:r>
      <w:r w:rsidRPr="00427AC2">
        <w:rPr>
          <w:rFonts w:ascii="Times New Roman" w:hAnsi="Times New Roman" w:cs="Times New Roman"/>
          <w:i/>
        </w:rPr>
        <w:t>g)</w:t>
      </w:r>
      <w:r>
        <w:rPr>
          <w:rFonts w:ascii="Times New Roman" w:hAnsi="Times New Roman" w:cs="Times New Roman"/>
        </w:rPr>
        <w:t xml:space="preserve"> ne mentionnait pas, d’une part, le rapport qui devait exister entre les mesures commerciales et la conservation, et d’autre part, comment elles devaient être associées aux restrictions à la production</w:t>
      </w:r>
      <w:r>
        <w:rPr>
          <w:rStyle w:val="Marquenotebasdepage"/>
          <w:rFonts w:ascii="Times New Roman" w:hAnsi="Times New Roman" w:cs="Times New Roman"/>
        </w:rPr>
        <w:footnoteReference w:id="420"/>
      </w:r>
      <w:r>
        <w:rPr>
          <w:rFonts w:ascii="Times New Roman" w:hAnsi="Times New Roman" w:cs="Times New Roman"/>
        </w:rPr>
        <w:t xml:space="preserve">. En </w:t>
      </w:r>
      <w:r w:rsidR="00C1710C">
        <w:rPr>
          <w:rFonts w:ascii="Times New Roman" w:hAnsi="Times New Roman" w:cs="Times New Roman"/>
        </w:rPr>
        <w:t>conséquence, il faut dès lors</w:t>
      </w:r>
      <w:r>
        <w:rPr>
          <w:rFonts w:ascii="Times New Roman" w:hAnsi="Times New Roman" w:cs="Times New Roman"/>
        </w:rPr>
        <w:t xml:space="preserve"> se demander si n’importe quel rapport avec la conservation et si n’importe quelle conjonction avec des restrictions à la production suffisent pour qu’une mesure commerciale entre dans le champ d’application de l’article XX </w:t>
      </w:r>
      <w:r w:rsidRPr="00427AC2">
        <w:rPr>
          <w:rFonts w:ascii="Times New Roman" w:hAnsi="Times New Roman" w:cs="Times New Roman"/>
          <w:i/>
        </w:rPr>
        <w:t>g)</w:t>
      </w:r>
      <w:r>
        <w:rPr>
          <w:rFonts w:ascii="Times New Roman" w:hAnsi="Times New Roman" w:cs="Times New Roman"/>
        </w:rPr>
        <w:t xml:space="preserve"> ou si une conjonction et un rapport particuliers sont requis</w:t>
      </w:r>
      <w:r>
        <w:rPr>
          <w:rStyle w:val="Marquenotebasdepage"/>
          <w:rFonts w:ascii="Times New Roman" w:hAnsi="Times New Roman" w:cs="Times New Roman"/>
        </w:rPr>
        <w:footnoteReference w:id="421"/>
      </w:r>
      <w:r>
        <w:rPr>
          <w:rFonts w:ascii="Times New Roman" w:hAnsi="Times New Roman" w:cs="Times New Roman"/>
        </w:rPr>
        <w:t>.</w:t>
      </w:r>
    </w:p>
    <w:p w14:paraId="5F93A6BA" w14:textId="77777777" w:rsidR="00004E6E" w:rsidRDefault="00004E6E" w:rsidP="00004E6E">
      <w:pPr>
        <w:spacing w:line="360" w:lineRule="auto"/>
        <w:jc w:val="both"/>
        <w:rPr>
          <w:rFonts w:ascii="Times New Roman" w:hAnsi="Times New Roman" w:cs="Times New Roman"/>
        </w:rPr>
      </w:pPr>
    </w:p>
    <w:p w14:paraId="3E7020A9" w14:textId="4C5EB728" w:rsidR="00004E6E" w:rsidRPr="00431041" w:rsidRDefault="00004E6E" w:rsidP="00004E6E">
      <w:pPr>
        <w:spacing w:line="360" w:lineRule="auto"/>
        <w:jc w:val="both"/>
        <w:rPr>
          <w:rFonts w:ascii="Times New Roman" w:hAnsi="Times New Roman"/>
        </w:rPr>
      </w:pPr>
      <w:r>
        <w:rPr>
          <w:rFonts w:ascii="Times New Roman" w:hAnsi="Times New Roman"/>
        </w:rPr>
        <w:t>Au regard du contexte dans lequel figure l’article XX et de l’objet de ladite disposition</w:t>
      </w:r>
      <w:r>
        <w:rPr>
          <w:rStyle w:val="Marquenotebasdepage"/>
          <w:rFonts w:ascii="Times New Roman" w:hAnsi="Times New Roman"/>
        </w:rPr>
        <w:footnoteReference w:id="422"/>
      </w:r>
      <w:r>
        <w:rPr>
          <w:rFonts w:ascii="Times New Roman" w:hAnsi="Times New Roman"/>
        </w:rPr>
        <w:t>, le Groupe spécial a examiné le sens de l’expression « se rapportant à »</w:t>
      </w:r>
      <w:r>
        <w:rPr>
          <w:rStyle w:val="Marquenotebasdepage"/>
          <w:rFonts w:ascii="Times New Roman" w:hAnsi="Times New Roman"/>
        </w:rPr>
        <w:footnoteReference w:id="423"/>
      </w:r>
      <w:r>
        <w:rPr>
          <w:rFonts w:ascii="Times New Roman" w:hAnsi="Times New Roman"/>
        </w:rPr>
        <w:t>. A</w:t>
      </w:r>
      <w:r w:rsidRPr="005522CD">
        <w:rPr>
          <w:rFonts w:ascii="Times New Roman" w:hAnsi="Times New Roman"/>
        </w:rPr>
        <w:t>lors</w:t>
      </w:r>
      <w:r>
        <w:rPr>
          <w:rFonts w:ascii="Times New Roman" w:hAnsi="Times New Roman"/>
        </w:rPr>
        <w:t xml:space="preserve"> que les alinéas </w:t>
      </w:r>
      <w:r w:rsidRPr="00B440C6">
        <w:rPr>
          <w:rFonts w:ascii="Times New Roman" w:hAnsi="Times New Roman"/>
          <w:i/>
        </w:rPr>
        <w:t>a</w:t>
      </w:r>
      <w:r>
        <w:rPr>
          <w:rFonts w:ascii="Times New Roman" w:hAnsi="Times New Roman"/>
        </w:rPr>
        <w:t xml:space="preserve">, </w:t>
      </w:r>
      <w:r w:rsidRPr="00B440C6">
        <w:rPr>
          <w:rFonts w:ascii="Times New Roman" w:hAnsi="Times New Roman"/>
          <w:i/>
        </w:rPr>
        <w:t>b</w:t>
      </w:r>
      <w:r>
        <w:rPr>
          <w:rFonts w:ascii="Times New Roman" w:hAnsi="Times New Roman"/>
        </w:rPr>
        <w:t xml:space="preserve">, </w:t>
      </w:r>
      <w:r w:rsidRPr="00B440C6">
        <w:rPr>
          <w:rFonts w:ascii="Times New Roman" w:hAnsi="Times New Roman"/>
          <w:i/>
        </w:rPr>
        <w:t xml:space="preserve">d </w:t>
      </w:r>
      <w:r>
        <w:rPr>
          <w:rFonts w:ascii="Times New Roman" w:hAnsi="Times New Roman"/>
        </w:rPr>
        <w:t xml:space="preserve">et </w:t>
      </w:r>
      <w:r w:rsidRPr="00B440C6">
        <w:rPr>
          <w:rFonts w:ascii="Times New Roman" w:hAnsi="Times New Roman"/>
          <w:i/>
        </w:rPr>
        <w:t>j</w:t>
      </w:r>
      <w:r>
        <w:rPr>
          <w:rFonts w:ascii="Times New Roman" w:hAnsi="Times New Roman"/>
        </w:rPr>
        <w:t xml:space="preserve"> de l’article XX stipulent que la mesure doit être « nécessaire » ou « essentielle » à la réalisation de l’objectif politique visé, l’alinéa </w:t>
      </w:r>
      <w:r w:rsidRPr="00B40861">
        <w:rPr>
          <w:rFonts w:ascii="Times New Roman" w:hAnsi="Times New Roman"/>
          <w:i/>
        </w:rPr>
        <w:t>g)</w:t>
      </w:r>
      <w:r>
        <w:rPr>
          <w:rFonts w:ascii="Times New Roman" w:hAnsi="Times New Roman"/>
        </w:rPr>
        <w:t xml:space="preserve"> porte quant à lui seulement sur des mesures « se rapportant à la conservation des ressources naturelles épuisables »</w:t>
      </w:r>
      <w:r w:rsidR="00C1710C">
        <w:rPr>
          <w:rFonts w:ascii="Times New Roman" w:hAnsi="Times New Roman"/>
        </w:rPr>
        <w:t>,</w:t>
      </w:r>
      <w:r>
        <w:rPr>
          <w:rFonts w:ascii="Times New Roman" w:hAnsi="Times New Roman"/>
        </w:rPr>
        <w:t xml:space="preserve"> ce qui permet de sous-entendre une approche plus extensive des mesures en cause</w:t>
      </w:r>
      <w:r>
        <w:rPr>
          <w:rStyle w:val="Marquenotebasdepage"/>
          <w:rFonts w:ascii="Times New Roman" w:hAnsi="Times New Roman"/>
        </w:rPr>
        <w:footnoteReference w:id="424"/>
      </w:r>
      <w:r>
        <w:rPr>
          <w:rFonts w:ascii="Times New Roman" w:hAnsi="Times New Roman"/>
        </w:rPr>
        <w:t xml:space="preserve">. Ainsi, il peut dès lors être déduit que l’article XX </w:t>
      </w:r>
      <w:r w:rsidRPr="00B40861">
        <w:rPr>
          <w:rFonts w:ascii="Times New Roman" w:hAnsi="Times New Roman"/>
          <w:i/>
        </w:rPr>
        <w:t>g)</w:t>
      </w:r>
      <w:r>
        <w:rPr>
          <w:rFonts w:ascii="Times New Roman" w:hAnsi="Times New Roman"/>
        </w:rPr>
        <w:t xml:space="preserve"> concerne non seulement les mesures qui sont nécessaires ou essentielles pour la conservation des ressources naturelles épuisables mais également un plus grand nombre de mesures</w:t>
      </w:r>
      <w:r>
        <w:rPr>
          <w:rStyle w:val="Marquenotebasdepage"/>
          <w:rFonts w:ascii="Times New Roman" w:hAnsi="Times New Roman"/>
        </w:rPr>
        <w:footnoteReference w:id="425"/>
      </w:r>
      <w:r>
        <w:rPr>
          <w:rFonts w:ascii="Times New Roman" w:hAnsi="Times New Roman"/>
        </w:rPr>
        <w:t xml:space="preserve">. Il convient toutefois de souligner que l’inclusion de l’article XX </w:t>
      </w:r>
      <w:r w:rsidRPr="00B440C6">
        <w:rPr>
          <w:rFonts w:ascii="Times New Roman" w:hAnsi="Times New Roman"/>
          <w:i/>
        </w:rPr>
        <w:t>g)</w:t>
      </w:r>
      <w:r>
        <w:rPr>
          <w:rFonts w:ascii="Times New Roman" w:hAnsi="Times New Roman"/>
        </w:rPr>
        <w:t xml:space="preserve"> dans l’Accord général a uniquement pour but, comme le mentionne le chapeau de l’article XX, de permettre aux engagements pris au titre de l’Accord d’assurer l’application de politiques ayant pour objet la conservation des « ressources naturelles épuisables »</w:t>
      </w:r>
      <w:r>
        <w:rPr>
          <w:rStyle w:val="Marquenotebasdepage"/>
          <w:rFonts w:ascii="Times New Roman" w:hAnsi="Times New Roman"/>
        </w:rPr>
        <w:footnoteReference w:id="426"/>
      </w:r>
      <w:r>
        <w:rPr>
          <w:rFonts w:ascii="Times New Roman" w:hAnsi="Times New Roman"/>
        </w:rPr>
        <w:t>. Il n’a pas pour but d’élargir la portée de l’article à des mesures prises à des fins de politique commerciale</w:t>
      </w:r>
      <w:r>
        <w:rPr>
          <w:rStyle w:val="Marquenotebasdepage"/>
          <w:rFonts w:ascii="Times New Roman" w:hAnsi="Times New Roman"/>
        </w:rPr>
        <w:footnoteReference w:id="427"/>
      </w:r>
      <w:r>
        <w:rPr>
          <w:rFonts w:ascii="Times New Roman" w:hAnsi="Times New Roman"/>
        </w:rPr>
        <w:t xml:space="preserve">. Ainsi, pour que la mesure soit considérée comme « se rapportant à » la conservation au sens de l’article XX </w:t>
      </w:r>
      <w:r w:rsidRPr="00B440C6">
        <w:rPr>
          <w:rFonts w:ascii="Times New Roman" w:hAnsi="Times New Roman"/>
          <w:i/>
        </w:rPr>
        <w:t>g)</w:t>
      </w:r>
      <w:r>
        <w:rPr>
          <w:rFonts w:ascii="Times New Roman" w:hAnsi="Times New Roman"/>
        </w:rPr>
        <w:t>, elle doit viser principalement la conservation d’une « ressource naturelle épuisable »</w:t>
      </w:r>
      <w:r>
        <w:rPr>
          <w:rStyle w:val="Marquenotebasdepage"/>
          <w:rFonts w:ascii="Times New Roman" w:hAnsi="Times New Roman"/>
        </w:rPr>
        <w:footnoteReference w:id="428"/>
      </w:r>
      <w:r>
        <w:rPr>
          <w:rFonts w:ascii="Times New Roman" w:hAnsi="Times New Roman"/>
        </w:rPr>
        <w:t>. Il ne faut dès lors pas qu’elle soit nécessaire ou essentielle pour la conservation de la ressource naturelle épuisable afin d’être autorisée par le GATT</w:t>
      </w:r>
      <w:r>
        <w:rPr>
          <w:rStyle w:val="Marquenotebasdepage"/>
          <w:rFonts w:ascii="Times New Roman" w:hAnsi="Times New Roman"/>
        </w:rPr>
        <w:footnoteReference w:id="429"/>
      </w:r>
      <w:r>
        <w:rPr>
          <w:rFonts w:ascii="Times New Roman" w:hAnsi="Times New Roman"/>
        </w:rPr>
        <w:t xml:space="preserve">. </w:t>
      </w:r>
    </w:p>
    <w:p w14:paraId="6EA1CD3B" w14:textId="77777777" w:rsidR="00004E6E" w:rsidRDefault="00004E6E" w:rsidP="00004E6E">
      <w:pPr>
        <w:spacing w:line="360" w:lineRule="auto"/>
        <w:jc w:val="both"/>
        <w:rPr>
          <w:rFonts w:ascii="Times New Roman" w:hAnsi="Times New Roman" w:cs="Times New Roman"/>
        </w:rPr>
      </w:pPr>
    </w:p>
    <w:p w14:paraId="504B4878" w14:textId="4341A18B" w:rsidR="00004E6E" w:rsidRPr="00C83DF9" w:rsidRDefault="00004E6E" w:rsidP="00004E6E">
      <w:pPr>
        <w:spacing w:line="360" w:lineRule="auto"/>
        <w:jc w:val="both"/>
        <w:rPr>
          <w:rFonts w:ascii="Times New Roman" w:hAnsi="Times New Roman"/>
          <w:highlight w:val="lightGray"/>
        </w:rPr>
      </w:pPr>
      <w:r>
        <w:rPr>
          <w:rFonts w:ascii="Times New Roman" w:hAnsi="Times New Roman" w:cs="Times New Roman"/>
        </w:rPr>
        <w:t>Le Groupe spécial s’est ensuite penché sur la question de savoir si la prohibition décrétée par le Canada visait principalement à la conservation des stocks de saumons et de harengs et à donner effet aux restrictions concernant l’exploitation du saumon et du hareng. Il a constaté que les préparateurs et les consommateurs nationaux pouvaient acheter ces poissons non préparés sans limite, à l’inverse des préparateurs et consommateurs étrangers</w:t>
      </w:r>
      <w:r>
        <w:rPr>
          <w:rStyle w:val="Marquenotebasdepage"/>
          <w:rFonts w:ascii="Times New Roman" w:hAnsi="Times New Roman" w:cs="Times New Roman"/>
        </w:rPr>
        <w:footnoteReference w:id="430"/>
      </w:r>
      <w:r>
        <w:rPr>
          <w:rFonts w:ascii="Times New Roman" w:hAnsi="Times New Roman" w:cs="Times New Roman"/>
        </w:rPr>
        <w:t xml:space="preserve">. Il a ainsi conclu que </w:t>
      </w:r>
      <w:r w:rsidRPr="002C65F8">
        <w:rPr>
          <w:rFonts w:ascii="Times New Roman" w:hAnsi="Times New Roman" w:cs="Times New Roman"/>
          <w:i/>
        </w:rPr>
        <w:t>« ces prohibitions ne pouvaient pas être tenues comme visant principalement à la conservation des stocks de saumons et de harengs et à l’application des restrictions concernant l’exploitation de ces poissons »</w:t>
      </w:r>
      <w:r>
        <w:rPr>
          <w:rStyle w:val="Marquenotebasdepage"/>
          <w:rFonts w:ascii="Times New Roman" w:hAnsi="Times New Roman" w:cs="Times New Roman"/>
        </w:rPr>
        <w:footnoteReference w:id="431"/>
      </w:r>
      <w:r>
        <w:rPr>
          <w:rFonts w:ascii="Times New Roman" w:hAnsi="Times New Roman" w:cs="Times New Roman"/>
        </w:rPr>
        <w:t xml:space="preserve">. </w:t>
      </w:r>
    </w:p>
    <w:p w14:paraId="26CB51CC" w14:textId="77777777" w:rsidR="00ED4DAC" w:rsidRPr="00C83DF9" w:rsidRDefault="00ED4DAC" w:rsidP="00ED4DAC">
      <w:pPr>
        <w:spacing w:line="360" w:lineRule="auto"/>
        <w:jc w:val="both"/>
        <w:rPr>
          <w:rFonts w:ascii="Times New Roman" w:hAnsi="Times New Roman" w:cs="Times New Roman"/>
          <w:highlight w:val="lightGray"/>
        </w:rPr>
      </w:pPr>
    </w:p>
    <w:p w14:paraId="60EB8A95" w14:textId="37AB3D1F" w:rsidR="00ED4DAC" w:rsidRPr="000371A6" w:rsidRDefault="00ED4DAC" w:rsidP="00ED4DAC">
      <w:pPr>
        <w:spacing w:line="360" w:lineRule="auto"/>
        <w:jc w:val="both"/>
        <w:rPr>
          <w:rFonts w:ascii="Times New Roman" w:hAnsi="Times New Roman"/>
        </w:rPr>
      </w:pPr>
      <w:r>
        <w:rPr>
          <w:rFonts w:ascii="Times New Roman" w:hAnsi="Times New Roman"/>
        </w:rPr>
        <w:t xml:space="preserve">Ainsi, dans l’affaire </w:t>
      </w:r>
      <w:r w:rsidRPr="002C65F8">
        <w:rPr>
          <w:rFonts w:ascii="Times New Roman" w:hAnsi="Times New Roman"/>
          <w:i/>
        </w:rPr>
        <w:t>Thon I</w:t>
      </w:r>
      <w:r w:rsidR="00EB027C">
        <w:rPr>
          <w:rFonts w:ascii="Times New Roman" w:hAnsi="Times New Roman"/>
        </w:rPr>
        <w:t xml:space="preserve">, le Groupe spécial </w:t>
      </w:r>
      <w:r>
        <w:rPr>
          <w:rFonts w:ascii="Times New Roman" w:hAnsi="Times New Roman"/>
        </w:rPr>
        <w:t xml:space="preserve">a constaté que les mesures américaines </w:t>
      </w:r>
      <w:r w:rsidR="00EB027C">
        <w:rPr>
          <w:rFonts w:ascii="Times New Roman" w:hAnsi="Times New Roman"/>
        </w:rPr>
        <w:t>ne</w:t>
      </w:r>
      <w:r w:rsidR="00EB027C">
        <w:rPr>
          <w:rFonts w:ascii="Times New Roman" w:hAnsi="Times New Roman"/>
          <w:highlight w:val="lightGray"/>
        </w:rPr>
        <w:t xml:space="preserve"> </w:t>
      </w:r>
      <w:r w:rsidR="00EB027C" w:rsidRPr="00D919E9">
        <w:rPr>
          <w:rFonts w:ascii="Times New Roman" w:hAnsi="Times New Roman"/>
        </w:rPr>
        <w:t>satisfaisaient </w:t>
      </w:r>
      <w:r w:rsidRPr="00D919E9">
        <w:rPr>
          <w:rFonts w:ascii="Times New Roman" w:hAnsi="Times New Roman"/>
        </w:rPr>
        <w:t>pas aux</w:t>
      </w:r>
      <w:r>
        <w:rPr>
          <w:rFonts w:ascii="Times New Roman" w:hAnsi="Times New Roman"/>
        </w:rPr>
        <w:t xml:space="preserve"> conditions énoncées à l’article XX </w:t>
      </w:r>
      <w:r w:rsidRPr="007E7A93">
        <w:rPr>
          <w:rFonts w:ascii="Times New Roman" w:hAnsi="Times New Roman"/>
          <w:i/>
        </w:rPr>
        <w:t>g)</w:t>
      </w:r>
      <w:r w:rsidR="00D919E9">
        <w:rPr>
          <w:rFonts w:ascii="Times New Roman" w:hAnsi="Times New Roman"/>
        </w:rPr>
        <w:t xml:space="preserve"> alors même que celles-ci</w:t>
      </w:r>
      <w:r>
        <w:rPr>
          <w:rFonts w:ascii="Times New Roman" w:hAnsi="Times New Roman"/>
        </w:rPr>
        <w:t xml:space="preserve"> </w:t>
      </w:r>
      <w:r w:rsidRPr="00EB027C">
        <w:rPr>
          <w:rFonts w:ascii="Times New Roman" w:hAnsi="Times New Roman"/>
          <w:i/>
        </w:rPr>
        <w:t>« s’étendaient aux mesures appliquées hors de la sphère de compétence du pays qui les a prises »</w:t>
      </w:r>
      <w:r>
        <w:rPr>
          <w:rStyle w:val="Marquenotebasdepage"/>
          <w:rFonts w:ascii="Times New Roman" w:hAnsi="Times New Roman"/>
        </w:rPr>
        <w:footnoteReference w:id="432"/>
      </w:r>
      <w:r>
        <w:rPr>
          <w:rFonts w:ascii="Times New Roman" w:hAnsi="Times New Roman"/>
        </w:rPr>
        <w:t xml:space="preserve">. </w:t>
      </w:r>
      <w:r w:rsidRPr="00EB027C">
        <w:rPr>
          <w:rFonts w:ascii="Times New Roman" w:hAnsi="Times New Roman"/>
        </w:rPr>
        <w:t xml:space="preserve">Comme mentionné précédemment, </w:t>
      </w:r>
      <w:r w:rsidRPr="00D919E9">
        <w:rPr>
          <w:rFonts w:ascii="Times New Roman" w:hAnsi="Times New Roman"/>
        </w:rPr>
        <w:t xml:space="preserve">les Etats-Unis établissaient </w:t>
      </w:r>
      <w:r w:rsidRPr="00D919E9">
        <w:rPr>
          <w:rFonts w:ascii="Times New Roman" w:hAnsi="Times New Roman" w:cs="Times New Roman"/>
        </w:rPr>
        <w:t xml:space="preserve">un rapport entre le taux maximal de prises accidentelles de dauphins que le Mexique se devait de respecter durant une période déterminée afin de pouvoir exporter du thon aux Etats-Unis et le taux de prises effectivement enregistré </w:t>
      </w:r>
      <w:r w:rsidRPr="00FC1C88">
        <w:rPr>
          <w:rFonts w:ascii="Times New Roman" w:hAnsi="Times New Roman" w:cs="Times New Roman"/>
        </w:rPr>
        <w:t>pour les</w:t>
      </w:r>
      <w:r w:rsidRPr="00D919E9">
        <w:rPr>
          <w:rFonts w:ascii="Times New Roman" w:hAnsi="Times New Roman" w:cs="Times New Roman"/>
        </w:rPr>
        <w:t xml:space="preserve"> pêcheurs am</w:t>
      </w:r>
      <w:r w:rsidR="00D919E9" w:rsidRPr="00D919E9">
        <w:rPr>
          <w:rFonts w:ascii="Times New Roman" w:hAnsi="Times New Roman" w:cs="Times New Roman"/>
        </w:rPr>
        <w:t>éricains durant la même période</w:t>
      </w:r>
      <w:r w:rsidRPr="00D919E9">
        <w:rPr>
          <w:rStyle w:val="Marquenotebasdepage"/>
          <w:rFonts w:ascii="Times New Roman" w:hAnsi="Times New Roman" w:cs="Times New Roman"/>
        </w:rPr>
        <w:footnoteReference w:id="433"/>
      </w:r>
      <w:r w:rsidRPr="00D919E9">
        <w:rPr>
          <w:rFonts w:ascii="Times New Roman" w:hAnsi="Times New Roman" w:cs="Times New Roman"/>
        </w:rPr>
        <w:t xml:space="preserve">. En conséquence, le Mexique n’était pas en mesure de savoir à un moment donné s’il agissait en </w:t>
      </w:r>
      <w:r w:rsidRPr="00EB027C">
        <w:rPr>
          <w:rFonts w:ascii="Times New Roman" w:hAnsi="Times New Roman" w:cs="Times New Roman"/>
        </w:rPr>
        <w:t>conformité avec les normes de protection des dauphins fixées par les Etats-Unis</w:t>
      </w:r>
      <w:r w:rsidRPr="00EB027C">
        <w:rPr>
          <w:rStyle w:val="Marquenotebasdepage"/>
          <w:rFonts w:ascii="Times New Roman" w:hAnsi="Times New Roman" w:cs="Times New Roman"/>
        </w:rPr>
        <w:footnoteReference w:id="434"/>
      </w:r>
      <w:r w:rsidRPr="00EB027C">
        <w:rPr>
          <w:rFonts w:ascii="Times New Roman" w:hAnsi="Times New Roman" w:cs="Times New Roman"/>
        </w:rPr>
        <w:t>. Le Groupe spécial a donc considéré que les Etats-Unis limitaient les échanges en se basant sur des conditions imprévisibles qui ne pouvaient être considérée comme visant principalement à la conservation des dauphins</w:t>
      </w:r>
      <w:r w:rsidRPr="00EB027C">
        <w:rPr>
          <w:rStyle w:val="Marquenotebasdepage"/>
          <w:rFonts w:ascii="Times New Roman" w:hAnsi="Times New Roman" w:cs="Times New Roman"/>
        </w:rPr>
        <w:footnoteReference w:id="435"/>
      </w:r>
      <w:r w:rsidRPr="00EB027C">
        <w:rPr>
          <w:rFonts w:ascii="Times New Roman" w:hAnsi="Times New Roman" w:cs="Times New Roman"/>
        </w:rPr>
        <w:t>.</w:t>
      </w:r>
      <w:r w:rsidR="00D919E9">
        <w:rPr>
          <w:rFonts w:ascii="Times New Roman" w:hAnsi="Times New Roman"/>
        </w:rPr>
        <w:t xml:space="preserve"> </w:t>
      </w:r>
    </w:p>
    <w:p w14:paraId="47306865" w14:textId="77777777" w:rsidR="00ED4DAC" w:rsidRDefault="00ED4DAC" w:rsidP="00ED4DAC">
      <w:pPr>
        <w:spacing w:line="360" w:lineRule="auto"/>
        <w:jc w:val="both"/>
        <w:rPr>
          <w:rFonts w:ascii="Times New Roman" w:hAnsi="Times New Roman"/>
        </w:rPr>
      </w:pPr>
    </w:p>
    <w:p w14:paraId="14D5626B" w14:textId="53FC3647" w:rsidR="00624F4C" w:rsidRPr="00BA5A59" w:rsidRDefault="00624F4C" w:rsidP="001D2870">
      <w:pPr>
        <w:pStyle w:val="Paragraphedeliste"/>
        <w:numPr>
          <w:ilvl w:val="0"/>
          <w:numId w:val="15"/>
        </w:numPr>
        <w:spacing w:line="360" w:lineRule="auto"/>
        <w:jc w:val="both"/>
        <w:rPr>
          <w:rFonts w:ascii="Times New Roman" w:hAnsi="Times New Roman" w:cs="Times New Roman"/>
          <w:b/>
        </w:rPr>
      </w:pPr>
      <w:r w:rsidRPr="00BA5A59">
        <w:rPr>
          <w:rFonts w:ascii="Times New Roman" w:hAnsi="Times New Roman" w:cs="Times New Roman"/>
          <w:b/>
        </w:rPr>
        <w:t>Conjointement avec des restrictions à la production ou à la consommation nationales »</w:t>
      </w:r>
    </w:p>
    <w:p w14:paraId="592D5047" w14:textId="77777777" w:rsidR="00624F4C" w:rsidRPr="00C83DF9" w:rsidRDefault="00624F4C" w:rsidP="00624F4C">
      <w:pPr>
        <w:pStyle w:val="Paragraphedeliste"/>
        <w:numPr>
          <w:ilvl w:val="0"/>
          <w:numId w:val="12"/>
        </w:numPr>
        <w:spacing w:line="360" w:lineRule="auto"/>
        <w:jc w:val="both"/>
        <w:rPr>
          <w:rFonts w:ascii="Times New Roman" w:hAnsi="Times New Roman" w:cs="Times New Roman"/>
          <w:b/>
        </w:rPr>
      </w:pPr>
      <w:r w:rsidRPr="00C83DF9">
        <w:rPr>
          <w:rFonts w:ascii="Times New Roman" w:hAnsi="Times New Roman" w:cs="Times New Roman"/>
          <w:b/>
        </w:rPr>
        <w:t>Pratique du GATT de 1947 en matière de règlement des différends</w:t>
      </w:r>
    </w:p>
    <w:p w14:paraId="18E115FB" w14:textId="036521D7" w:rsidR="00624F4C" w:rsidRDefault="00624F4C" w:rsidP="00624F4C">
      <w:pPr>
        <w:spacing w:line="360" w:lineRule="auto"/>
        <w:jc w:val="both"/>
        <w:rPr>
          <w:rFonts w:ascii="Times New Roman" w:hAnsi="Times New Roman" w:cs="Times New Roman"/>
        </w:rPr>
      </w:pPr>
      <w:r>
        <w:rPr>
          <w:rFonts w:ascii="Times New Roman" w:hAnsi="Times New Roman" w:cs="Times New Roman"/>
        </w:rPr>
        <w:t xml:space="preserve">Dans l’affaire </w:t>
      </w:r>
      <w:r w:rsidRPr="006D5DAE">
        <w:rPr>
          <w:rFonts w:ascii="Times New Roman" w:hAnsi="Times New Roman" w:cs="Times New Roman"/>
          <w:i/>
        </w:rPr>
        <w:t>Thon 1982</w:t>
      </w:r>
      <w:r>
        <w:rPr>
          <w:rFonts w:ascii="Times New Roman" w:hAnsi="Times New Roman" w:cs="Times New Roman"/>
        </w:rPr>
        <w:t>, les termes « se rapportant à » et « conjointement avec » n’avaient pas fait l’objet d’une interprétation</w:t>
      </w:r>
      <w:r w:rsidR="006078EB">
        <w:rPr>
          <w:rFonts w:ascii="Times New Roman" w:hAnsi="Times New Roman" w:cs="Times New Roman"/>
        </w:rPr>
        <w:t xml:space="preserve"> comme mentionné précédemment</w:t>
      </w:r>
      <w:r w:rsidR="008745A4">
        <w:rPr>
          <w:rStyle w:val="Marquenotebasdepage"/>
          <w:rFonts w:ascii="Times New Roman" w:hAnsi="Times New Roman" w:cs="Times New Roman"/>
        </w:rPr>
        <w:footnoteReference w:id="436"/>
      </w:r>
      <w:r>
        <w:rPr>
          <w:rFonts w:ascii="Times New Roman" w:hAnsi="Times New Roman" w:cs="Times New Roman"/>
        </w:rPr>
        <w:t xml:space="preserve">. Ce faisant, dans l’affaire </w:t>
      </w:r>
      <w:r w:rsidRPr="006D5DAE">
        <w:rPr>
          <w:rFonts w:ascii="Times New Roman" w:hAnsi="Times New Roman" w:cs="Times New Roman"/>
          <w:i/>
        </w:rPr>
        <w:t>Saumon/Harengs</w:t>
      </w:r>
      <w:r>
        <w:rPr>
          <w:rFonts w:ascii="Times New Roman" w:hAnsi="Times New Roman" w:cs="Times New Roman"/>
        </w:rPr>
        <w:t>, le Groupe spécial a pu se pencher sur l’analyse de l’expression « se rapportant à »</w:t>
      </w:r>
      <w:r w:rsidRPr="00C16E3C">
        <w:rPr>
          <w:rFonts w:ascii="Times New Roman" w:hAnsi="Times New Roman" w:cs="Times New Roman"/>
        </w:rPr>
        <w:t xml:space="preserve"> </w:t>
      </w:r>
      <w:r>
        <w:rPr>
          <w:rFonts w:ascii="Times New Roman" w:hAnsi="Times New Roman" w:cs="Times New Roman"/>
        </w:rPr>
        <w:t xml:space="preserve">à la lumière du contexte et de l’objet de l’article XX </w:t>
      </w:r>
      <w:r w:rsidRPr="00BA5A59">
        <w:rPr>
          <w:rFonts w:ascii="Times New Roman" w:hAnsi="Times New Roman" w:cs="Times New Roman"/>
          <w:i/>
        </w:rPr>
        <w:t>g</w:t>
      </w:r>
      <w:r w:rsidRPr="00FC1C88">
        <w:rPr>
          <w:rFonts w:ascii="Times New Roman" w:hAnsi="Times New Roman" w:cs="Times New Roman"/>
          <w:i/>
        </w:rPr>
        <w:t>)</w:t>
      </w:r>
      <w:r w:rsidR="0082604A" w:rsidRPr="00FC1C88">
        <w:rPr>
          <w:rStyle w:val="Marquenotebasdepage"/>
          <w:rFonts w:ascii="Times New Roman" w:hAnsi="Times New Roman" w:cs="Times New Roman"/>
          <w:i/>
        </w:rPr>
        <w:footnoteReference w:id="437"/>
      </w:r>
      <w:r w:rsidRPr="00FC1C88">
        <w:rPr>
          <w:rFonts w:ascii="Times New Roman" w:hAnsi="Times New Roman" w:cs="Times New Roman"/>
        </w:rPr>
        <w:t>. Ainsi, une mesure doit viser principalement à la conservation d’une ressource naturelle épuisable afin d’être considérée comme « se rapportant à » la conservation</w:t>
      </w:r>
      <w:r w:rsidRPr="00FC1C88">
        <w:rPr>
          <w:rStyle w:val="Marquenotebasdepage"/>
          <w:rFonts w:ascii="Times New Roman" w:hAnsi="Times New Roman" w:cs="Times New Roman"/>
        </w:rPr>
        <w:footnoteReference w:id="438"/>
      </w:r>
      <w:r w:rsidRPr="00FC1C88">
        <w:rPr>
          <w:rFonts w:ascii="Times New Roman" w:hAnsi="Times New Roman" w:cs="Times New Roman"/>
        </w:rPr>
        <w:t>.</w:t>
      </w:r>
      <w:r w:rsidR="006078EB" w:rsidRPr="00FC1C88">
        <w:rPr>
          <w:rFonts w:ascii="Times New Roman" w:hAnsi="Times New Roman" w:cs="Times New Roman"/>
        </w:rPr>
        <w:t xml:space="preserve">  </w:t>
      </w:r>
      <w:r w:rsidRPr="00FC1C88">
        <w:rPr>
          <w:rFonts w:ascii="Times New Roman" w:hAnsi="Times New Roman" w:cs="Times New Roman"/>
        </w:rPr>
        <w:t>Les termes « conjointement</w:t>
      </w:r>
      <w:r>
        <w:rPr>
          <w:rFonts w:ascii="Times New Roman" w:hAnsi="Times New Roman" w:cs="Times New Roman"/>
        </w:rPr>
        <w:t xml:space="preserve"> avec » ont également été examinés. Selon l’Organe d’appel, cette expression devait être interprétée </w:t>
      </w:r>
      <w:r w:rsidRPr="00BA5A59">
        <w:rPr>
          <w:rFonts w:ascii="Times New Roman" w:hAnsi="Times New Roman" w:cs="Times New Roman"/>
          <w:i/>
        </w:rPr>
        <w:t>« d’une façon à assurer que la portée des mesures pouvant être prises au titre de cette disposition corresponde à l’objet en vue duquel elle a été incluse dans l’Accord général »</w:t>
      </w:r>
      <w:r w:rsidR="008745A4">
        <w:rPr>
          <w:rStyle w:val="Marquenotebasdepage"/>
          <w:rFonts w:ascii="Times New Roman" w:hAnsi="Times New Roman" w:cs="Times New Roman"/>
          <w:i/>
        </w:rPr>
        <w:footnoteReference w:id="439"/>
      </w:r>
      <w:r>
        <w:rPr>
          <w:rFonts w:ascii="Times New Roman" w:hAnsi="Times New Roman" w:cs="Times New Roman"/>
        </w:rPr>
        <w:t xml:space="preserve">. Ainsi, une mesure commerciale ne peut être considérée </w:t>
      </w:r>
      <w:r w:rsidRPr="00BA5A59">
        <w:rPr>
          <w:rFonts w:ascii="Times New Roman" w:hAnsi="Times New Roman" w:cs="Times New Roman"/>
          <w:i/>
        </w:rPr>
        <w:t>« comme appliquée « conjointement avec » des restrictions à la production que si elle visait principalement à donner effet à ces restrictions »</w:t>
      </w:r>
      <w:r>
        <w:rPr>
          <w:rStyle w:val="Marquenotebasdepage"/>
          <w:rFonts w:ascii="Times New Roman" w:hAnsi="Times New Roman" w:cs="Times New Roman"/>
        </w:rPr>
        <w:footnoteReference w:id="440"/>
      </w:r>
      <w:r>
        <w:rPr>
          <w:rFonts w:ascii="Times New Roman" w:hAnsi="Times New Roman" w:cs="Times New Roman"/>
        </w:rPr>
        <w:t>.</w:t>
      </w:r>
    </w:p>
    <w:p w14:paraId="0E14FA6E" w14:textId="77777777" w:rsidR="00624F4C" w:rsidRDefault="00624F4C" w:rsidP="00624F4C">
      <w:pPr>
        <w:spacing w:line="360" w:lineRule="auto"/>
        <w:jc w:val="both"/>
        <w:rPr>
          <w:rFonts w:ascii="Times New Roman" w:hAnsi="Times New Roman" w:cs="Times New Roman"/>
        </w:rPr>
      </w:pPr>
    </w:p>
    <w:p w14:paraId="5AF574C6" w14:textId="3C0B53A7" w:rsidR="00624F4C" w:rsidRDefault="00624F4C" w:rsidP="00624F4C">
      <w:pPr>
        <w:spacing w:line="360" w:lineRule="auto"/>
        <w:jc w:val="both"/>
        <w:rPr>
          <w:rFonts w:ascii="Times New Roman" w:hAnsi="Times New Roman" w:cs="Times New Roman"/>
        </w:rPr>
      </w:pPr>
      <w:r>
        <w:rPr>
          <w:rFonts w:ascii="Times New Roman" w:hAnsi="Times New Roman" w:cs="Times New Roman"/>
        </w:rPr>
        <w:t xml:space="preserve">Le Groupe spécial a rappelé les constatations réalisées par le Groupe spécial de l’affaire </w:t>
      </w:r>
      <w:r w:rsidRPr="00951DD9">
        <w:rPr>
          <w:rFonts w:ascii="Times New Roman" w:hAnsi="Times New Roman" w:cs="Times New Roman"/>
          <w:i/>
        </w:rPr>
        <w:t>Saumons/Harengs</w:t>
      </w:r>
      <w:r>
        <w:rPr>
          <w:rFonts w:ascii="Times New Roman" w:hAnsi="Times New Roman" w:cs="Times New Roman"/>
        </w:rPr>
        <w:t xml:space="preserve"> dans l’affaire </w:t>
      </w:r>
      <w:r w:rsidRPr="00951DD9">
        <w:rPr>
          <w:rFonts w:ascii="Times New Roman" w:hAnsi="Times New Roman" w:cs="Times New Roman"/>
          <w:i/>
        </w:rPr>
        <w:t>Thon</w:t>
      </w:r>
      <w:r w:rsidR="008745A4">
        <w:rPr>
          <w:rStyle w:val="Marquenotebasdepage"/>
          <w:rFonts w:ascii="Times New Roman" w:hAnsi="Times New Roman" w:cs="Times New Roman"/>
          <w:i/>
        </w:rPr>
        <w:footnoteReference w:id="441"/>
      </w:r>
      <w:r>
        <w:rPr>
          <w:rFonts w:ascii="Times New Roman" w:hAnsi="Times New Roman" w:cs="Times New Roman"/>
        </w:rPr>
        <w:t>. Ainsi, il a énoncé qu’un pays pouvait réguler la production et la consommation d’une ressource naturelle épuisable de manière effective uniquement si la production ou la consommation relevait de sa juridiction</w:t>
      </w:r>
      <w:r>
        <w:rPr>
          <w:rStyle w:val="Marquenotebasdepage"/>
          <w:rFonts w:ascii="Times New Roman" w:hAnsi="Times New Roman" w:cs="Times New Roman"/>
        </w:rPr>
        <w:footnoteReference w:id="442"/>
      </w:r>
      <w:r>
        <w:rPr>
          <w:rFonts w:ascii="Times New Roman" w:hAnsi="Times New Roman" w:cs="Times New Roman"/>
        </w:rPr>
        <w:t xml:space="preserve">. Il en a déduit que l’article XX </w:t>
      </w:r>
      <w:r w:rsidRPr="00EE41F2">
        <w:rPr>
          <w:rFonts w:ascii="Times New Roman" w:hAnsi="Times New Roman" w:cs="Times New Roman"/>
          <w:i/>
        </w:rPr>
        <w:t>g)</w:t>
      </w:r>
      <w:r>
        <w:rPr>
          <w:rFonts w:ascii="Times New Roman" w:hAnsi="Times New Roman" w:cs="Times New Roman"/>
        </w:rPr>
        <w:t xml:space="preserve"> était conçu afin de permettre aux parties contractantes de </w:t>
      </w:r>
      <w:r w:rsidRPr="00EE41F2">
        <w:rPr>
          <w:rFonts w:ascii="Times New Roman" w:hAnsi="Times New Roman" w:cs="Times New Roman"/>
          <w:i/>
        </w:rPr>
        <w:t>« prendre des mesures commerciales visant principalement à donner effet à des restrictions à la production</w:t>
      </w:r>
      <w:r w:rsidR="006078EB">
        <w:rPr>
          <w:rFonts w:ascii="Times New Roman" w:hAnsi="Times New Roman" w:cs="Times New Roman"/>
          <w:i/>
        </w:rPr>
        <w:t xml:space="preserve"> ou à la consommation dans leur</w:t>
      </w:r>
      <w:r w:rsidRPr="00EE41F2">
        <w:rPr>
          <w:rFonts w:ascii="Times New Roman" w:hAnsi="Times New Roman" w:cs="Times New Roman"/>
          <w:i/>
        </w:rPr>
        <w:t xml:space="preserve"> sphère de compétence »</w:t>
      </w:r>
      <w:r>
        <w:rPr>
          <w:rStyle w:val="Marquenotebasdepage"/>
          <w:rFonts w:ascii="Times New Roman" w:hAnsi="Times New Roman" w:cs="Times New Roman"/>
        </w:rPr>
        <w:footnoteReference w:id="443"/>
      </w:r>
      <w:r>
        <w:rPr>
          <w:rFonts w:ascii="Times New Roman" w:hAnsi="Times New Roman" w:cs="Times New Roman"/>
        </w:rPr>
        <w:t xml:space="preserve">. Le Groupe spécial a également </w:t>
      </w:r>
      <w:r w:rsidR="00892250">
        <w:rPr>
          <w:rFonts w:ascii="Times New Roman" w:hAnsi="Times New Roman" w:cs="Times New Roman"/>
        </w:rPr>
        <w:t xml:space="preserve">mentionné </w:t>
      </w:r>
      <w:r>
        <w:rPr>
          <w:rFonts w:ascii="Times New Roman" w:hAnsi="Times New Roman" w:cs="Times New Roman"/>
        </w:rPr>
        <w:t xml:space="preserve">que l’article XX </w:t>
      </w:r>
      <w:r w:rsidRPr="008745A4">
        <w:rPr>
          <w:rFonts w:ascii="Times New Roman" w:hAnsi="Times New Roman" w:cs="Times New Roman"/>
          <w:i/>
        </w:rPr>
        <w:t>g)</w:t>
      </w:r>
      <w:r>
        <w:rPr>
          <w:rFonts w:ascii="Times New Roman" w:hAnsi="Times New Roman" w:cs="Times New Roman"/>
        </w:rPr>
        <w:t xml:space="preserve"> permettait à chaque partie contractante l’adoption de ses propres politiques en matière de conservation. Ainsi, il note que </w:t>
      </w:r>
      <w:r w:rsidRPr="0082604A">
        <w:rPr>
          <w:rFonts w:ascii="Times New Roman" w:hAnsi="Times New Roman" w:cs="Times New Roman"/>
          <w:i/>
        </w:rPr>
        <w:t xml:space="preserve">« les conditions énoncées à </w:t>
      </w:r>
      <w:r w:rsidRPr="00FC1C88">
        <w:rPr>
          <w:rFonts w:ascii="Times New Roman" w:hAnsi="Times New Roman" w:cs="Times New Roman"/>
          <w:i/>
        </w:rPr>
        <w:t>l’article XX g) qui limitent le recours à cette exception, à savoir que les mesures prises doivent se rapporter à la conservation de ressources naturelles épuisables et ne pas "constituer, soit un moyen de discrimination arbitraire ou injustifié ... soit une restriction dég</w:t>
      </w:r>
      <w:r w:rsidR="00892250" w:rsidRPr="00FC1C88">
        <w:rPr>
          <w:rFonts w:ascii="Times New Roman" w:hAnsi="Times New Roman" w:cs="Times New Roman"/>
          <w:i/>
        </w:rPr>
        <w:t>uisée au commerce international »</w:t>
      </w:r>
      <w:r w:rsidR="00892250" w:rsidRPr="00FC1C88">
        <w:rPr>
          <w:rStyle w:val="Marquenotebasdepage"/>
          <w:rFonts w:ascii="Times New Roman" w:hAnsi="Times New Roman" w:cs="Times New Roman"/>
        </w:rPr>
        <w:footnoteReference w:id="444"/>
      </w:r>
      <w:r w:rsidRPr="00FC1C88">
        <w:rPr>
          <w:rFonts w:ascii="Times New Roman" w:hAnsi="Times New Roman" w:cs="Times New Roman"/>
        </w:rPr>
        <w:t xml:space="preserve"> visent la mesure commerciale qui doit être justifiée au regard de cet article, mais pas les politiques adoptées en matière de conservation par la</w:t>
      </w:r>
      <w:r w:rsidR="003536E7">
        <w:rPr>
          <w:rFonts w:ascii="Times New Roman" w:hAnsi="Times New Roman" w:cs="Times New Roman"/>
        </w:rPr>
        <w:t xml:space="preserve"> partie contractante concernée</w:t>
      </w:r>
      <w:r w:rsidRPr="00FC1C88">
        <w:rPr>
          <w:rFonts w:ascii="Times New Roman" w:hAnsi="Times New Roman" w:cs="Times New Roman"/>
        </w:rPr>
        <w:t xml:space="preserve">. Le Groupe spécial a considéré que si l’article XX </w:t>
      </w:r>
      <w:r w:rsidRPr="00FC1C88">
        <w:rPr>
          <w:rFonts w:ascii="Times New Roman" w:hAnsi="Times New Roman" w:cs="Times New Roman"/>
          <w:i/>
        </w:rPr>
        <w:t>g)</w:t>
      </w:r>
      <w:r w:rsidRPr="00FC1C88">
        <w:rPr>
          <w:rFonts w:ascii="Times New Roman" w:hAnsi="Times New Roman" w:cs="Times New Roman"/>
        </w:rPr>
        <w:t xml:space="preserve"> pouvait s’étendre aux mesures appliquées hors de la sphère de compétence du pays qui les avaient adoptées, il en résultait que chaque partie contractante avait la possibilité de déterminer de manière unilatérale « les politiques de conservation dont les autres parties contractantes ne pourraient pas s’écarter sans compromettre les droits qu’elles tiennent de l’Accord général »</w:t>
      </w:r>
      <w:r w:rsidRPr="00FC1C88">
        <w:rPr>
          <w:rStyle w:val="Marquenotebasdepage"/>
          <w:rFonts w:ascii="Times New Roman" w:hAnsi="Times New Roman" w:cs="Times New Roman"/>
        </w:rPr>
        <w:footnoteReference w:id="445"/>
      </w:r>
      <w:r w:rsidRPr="00FC1C88">
        <w:rPr>
          <w:rFonts w:ascii="Times New Roman" w:hAnsi="Times New Roman" w:cs="Times New Roman"/>
        </w:rPr>
        <w:t>. Il faut dès lors souligner que les considérations qui avait conduit le Groupe spécial  à rejeter l’application de l’article XX</w:t>
      </w:r>
      <w:r w:rsidR="0082604A" w:rsidRPr="00FC1C88">
        <w:rPr>
          <w:rFonts w:ascii="Times New Roman" w:hAnsi="Times New Roman" w:cs="Times New Roman"/>
        </w:rPr>
        <w:t xml:space="preserve"> </w:t>
      </w:r>
      <w:r w:rsidRPr="00FC1C88">
        <w:rPr>
          <w:rFonts w:ascii="Times New Roman" w:hAnsi="Times New Roman" w:cs="Times New Roman"/>
          <w:i/>
        </w:rPr>
        <w:t>b)</w:t>
      </w:r>
      <w:r w:rsidRPr="00FC1C88">
        <w:rPr>
          <w:rFonts w:ascii="Times New Roman" w:hAnsi="Times New Roman" w:cs="Times New Roman"/>
        </w:rPr>
        <w:t xml:space="preserve"> sur une telle base peuv</w:t>
      </w:r>
      <w:r w:rsidR="00200456" w:rsidRPr="00FC1C88">
        <w:rPr>
          <w:rFonts w:ascii="Times New Roman" w:hAnsi="Times New Roman" w:cs="Times New Roman"/>
        </w:rPr>
        <w:t>ent également être appliquée</w:t>
      </w:r>
      <w:r w:rsidRPr="00FC1C88">
        <w:rPr>
          <w:rFonts w:ascii="Times New Roman" w:hAnsi="Times New Roman" w:cs="Times New Roman"/>
        </w:rPr>
        <w:t xml:space="preserve"> à l’article XX </w:t>
      </w:r>
      <w:r w:rsidRPr="00FC1C88">
        <w:rPr>
          <w:rFonts w:ascii="Times New Roman" w:hAnsi="Times New Roman" w:cs="Times New Roman"/>
          <w:i/>
        </w:rPr>
        <w:t>g)</w:t>
      </w:r>
      <w:r w:rsidRPr="00FC1C88">
        <w:rPr>
          <w:rStyle w:val="Marquenotebasdepage"/>
          <w:rFonts w:ascii="Times New Roman" w:hAnsi="Times New Roman" w:cs="Times New Roman"/>
          <w:i/>
        </w:rPr>
        <w:footnoteReference w:id="446"/>
      </w:r>
      <w:r w:rsidRPr="00FC1C88">
        <w:rPr>
          <w:rFonts w:ascii="Times New Roman" w:hAnsi="Times New Roman" w:cs="Times New Roman"/>
        </w:rPr>
        <w:t>.</w:t>
      </w:r>
    </w:p>
    <w:p w14:paraId="158DA3A1" w14:textId="77777777" w:rsidR="00624F4C" w:rsidRDefault="00624F4C" w:rsidP="00624F4C">
      <w:pPr>
        <w:spacing w:line="360" w:lineRule="auto"/>
        <w:jc w:val="both"/>
        <w:rPr>
          <w:rFonts w:ascii="Times New Roman" w:hAnsi="Times New Roman" w:cs="Times New Roman"/>
        </w:rPr>
      </w:pPr>
    </w:p>
    <w:p w14:paraId="75CB06D7" w14:textId="10CA2438" w:rsidR="00624F4C" w:rsidRDefault="00624F4C" w:rsidP="00624F4C">
      <w:pPr>
        <w:spacing w:line="360" w:lineRule="auto"/>
        <w:jc w:val="both"/>
        <w:rPr>
          <w:rFonts w:ascii="Times New Roman" w:hAnsi="Times New Roman" w:cs="Times New Roman"/>
        </w:rPr>
      </w:pPr>
      <w:r w:rsidRPr="00854A80">
        <w:rPr>
          <w:rFonts w:ascii="Times New Roman" w:hAnsi="Times New Roman" w:cs="Times New Roman"/>
          <w:highlight w:val="lightGray"/>
        </w:rPr>
        <w:t xml:space="preserve">Dans l’affaire </w:t>
      </w:r>
      <w:r w:rsidRPr="00892250">
        <w:rPr>
          <w:rFonts w:ascii="Times New Roman" w:hAnsi="Times New Roman" w:cs="Times New Roman"/>
          <w:i/>
          <w:highlight w:val="lightGray"/>
        </w:rPr>
        <w:t>Thon II</w:t>
      </w:r>
      <w:r w:rsidRPr="00854A80">
        <w:rPr>
          <w:rFonts w:ascii="Times New Roman" w:hAnsi="Times New Roman" w:cs="Times New Roman"/>
          <w:highlight w:val="lightGray"/>
        </w:rPr>
        <w:t xml:space="preserve">, </w:t>
      </w:r>
      <w:r w:rsidR="00200456">
        <w:rPr>
          <w:rFonts w:ascii="Times New Roman" w:hAnsi="Times New Roman" w:cs="Times New Roman"/>
          <w:highlight w:val="lightGray"/>
        </w:rPr>
        <w:t xml:space="preserve">il faut se référer à ce qui sera </w:t>
      </w:r>
      <w:r w:rsidRPr="00854A80">
        <w:rPr>
          <w:rFonts w:ascii="Times New Roman" w:hAnsi="Times New Roman" w:cs="Times New Roman"/>
          <w:highlight w:val="lightGray"/>
        </w:rPr>
        <w:t xml:space="preserve">analysé dans le concept « se rapportant à » et à l’application de l’article XX g) hors de la sphère de compétence </w:t>
      </w:r>
      <w:r w:rsidR="00892250">
        <w:rPr>
          <w:rStyle w:val="Marquenotebasdepage"/>
          <w:rFonts w:ascii="Times New Roman" w:hAnsi="Times New Roman" w:cs="Times New Roman"/>
          <w:highlight w:val="lightGray"/>
        </w:rPr>
        <w:footnoteReference w:id="447"/>
      </w:r>
      <w:r w:rsidR="008C3E7A">
        <w:rPr>
          <w:rFonts w:ascii="Times New Roman" w:hAnsi="Times New Roman" w:cs="Times New Roman"/>
          <w:highlight w:val="lightGray"/>
        </w:rPr>
        <w:t>.</w:t>
      </w:r>
    </w:p>
    <w:p w14:paraId="08D25E85" w14:textId="77777777" w:rsidR="00624F4C" w:rsidRDefault="00624F4C" w:rsidP="00624F4C">
      <w:pPr>
        <w:spacing w:line="360" w:lineRule="auto"/>
        <w:jc w:val="both"/>
        <w:rPr>
          <w:rFonts w:ascii="Times New Roman" w:hAnsi="Times New Roman" w:cs="Times New Roman"/>
        </w:rPr>
      </w:pPr>
    </w:p>
    <w:p w14:paraId="0980C3E6" w14:textId="77777777" w:rsidR="00624F4C" w:rsidRPr="00CB0109" w:rsidRDefault="00624F4C" w:rsidP="00624F4C">
      <w:pPr>
        <w:pStyle w:val="Paragraphedeliste"/>
        <w:numPr>
          <w:ilvl w:val="0"/>
          <w:numId w:val="12"/>
        </w:numPr>
        <w:spacing w:line="360" w:lineRule="auto"/>
        <w:jc w:val="both"/>
        <w:rPr>
          <w:rFonts w:ascii="Times New Roman" w:hAnsi="Times New Roman" w:cs="Times New Roman"/>
          <w:b/>
        </w:rPr>
      </w:pPr>
      <w:r w:rsidRPr="00CB0109">
        <w:rPr>
          <w:rFonts w:ascii="Times New Roman" w:hAnsi="Times New Roman" w:cs="Times New Roman"/>
          <w:b/>
        </w:rPr>
        <w:t>Pratique de l’OMC en matière de règlement des différends</w:t>
      </w:r>
    </w:p>
    <w:p w14:paraId="2BE80F25" w14:textId="452CB478" w:rsidR="00624F4C" w:rsidRPr="005C22E2" w:rsidRDefault="00624F4C" w:rsidP="00624F4C">
      <w:pPr>
        <w:spacing w:line="360" w:lineRule="auto"/>
        <w:jc w:val="both"/>
        <w:rPr>
          <w:rFonts w:ascii="Times New Roman" w:hAnsi="Times New Roman" w:cs="Times New Roman"/>
        </w:rPr>
      </w:pPr>
      <w:r>
        <w:rPr>
          <w:rFonts w:ascii="Times New Roman" w:hAnsi="Times New Roman" w:cs="Times New Roman"/>
        </w:rPr>
        <w:t xml:space="preserve">Dans l’affaire </w:t>
      </w:r>
      <w:r w:rsidRPr="00951DD9">
        <w:rPr>
          <w:rFonts w:ascii="Times New Roman" w:hAnsi="Times New Roman" w:cs="Times New Roman"/>
          <w:i/>
        </w:rPr>
        <w:t>Essence</w:t>
      </w:r>
      <w:r>
        <w:rPr>
          <w:rFonts w:ascii="Times New Roman" w:hAnsi="Times New Roman" w:cs="Times New Roman"/>
        </w:rPr>
        <w:t xml:space="preserve">, </w:t>
      </w:r>
      <w:r>
        <w:rPr>
          <w:rFonts w:ascii="Times New Roman" w:hAnsi="Times New Roman"/>
        </w:rPr>
        <w:t xml:space="preserve">si l’Organe d’appel a considéré que les règles d’établissement des niveaux de base se rapportaient à la conservation des ressources naturelles épuisables au sens de l’article XX </w:t>
      </w:r>
      <w:r w:rsidRPr="00641133">
        <w:rPr>
          <w:rFonts w:ascii="Times New Roman" w:hAnsi="Times New Roman"/>
          <w:i/>
        </w:rPr>
        <w:t>g)</w:t>
      </w:r>
      <w:r w:rsidR="007D1528">
        <w:rPr>
          <w:rStyle w:val="Marquenotebasdepage"/>
          <w:rFonts w:ascii="Times New Roman" w:hAnsi="Times New Roman"/>
          <w:i/>
        </w:rPr>
        <w:footnoteReference w:id="448"/>
      </w:r>
      <w:r>
        <w:rPr>
          <w:rFonts w:ascii="Times New Roman" w:hAnsi="Times New Roman"/>
        </w:rPr>
        <w:t xml:space="preserve">, il s’est également demandé si ces règles étaient </w:t>
      </w:r>
      <w:r w:rsidRPr="00F33C6E">
        <w:rPr>
          <w:rFonts w:ascii="Times New Roman" w:hAnsi="Times New Roman"/>
          <w:i/>
        </w:rPr>
        <w:t>« appliquées conjointement avec des restrictions à la production ou à la consommation nationales »</w:t>
      </w:r>
      <w:r w:rsidR="008745A4">
        <w:rPr>
          <w:rStyle w:val="Marquenotebasdepage"/>
          <w:rFonts w:ascii="Times New Roman" w:hAnsi="Times New Roman"/>
          <w:i/>
        </w:rPr>
        <w:footnoteReference w:id="449"/>
      </w:r>
      <w:r>
        <w:rPr>
          <w:rFonts w:ascii="Times New Roman" w:hAnsi="Times New Roman"/>
        </w:rPr>
        <w:t>. Pour ce faire, il s’est penché sur l’article 31§1 de la Convention de Vienne afin d’interpréter l’expression « appliquée conjointement avec »</w:t>
      </w:r>
      <w:r>
        <w:rPr>
          <w:rStyle w:val="Marquenotebasdepage"/>
          <w:rFonts w:ascii="Times New Roman" w:hAnsi="Times New Roman"/>
        </w:rPr>
        <w:footnoteReference w:id="450"/>
      </w:r>
      <w:r w:rsidR="00200456">
        <w:rPr>
          <w:rFonts w:ascii="Times New Roman" w:hAnsi="Times New Roman"/>
        </w:rPr>
        <w:t>. Si le terme « appliquée</w:t>
      </w:r>
      <w:r>
        <w:rPr>
          <w:rFonts w:ascii="Times New Roman" w:hAnsi="Times New Roman"/>
        </w:rPr>
        <w:t> » peut signifier que la mesure en cause est « en application », « en vigueur » ou encore « a pris effet », le terme « conjointement avec » peut quant à lui être synonyme avec de « concert avec » ou « concurremment avec »</w:t>
      </w:r>
      <w:r w:rsidR="00892250">
        <w:rPr>
          <w:rStyle w:val="Marquenotebasdepage"/>
          <w:rFonts w:ascii="Times New Roman" w:hAnsi="Times New Roman"/>
        </w:rPr>
        <w:footnoteReference w:id="451"/>
      </w:r>
      <w:r>
        <w:rPr>
          <w:rFonts w:ascii="Times New Roman" w:hAnsi="Times New Roman"/>
        </w:rPr>
        <w:t>. En l’espèce, l’expression « si de telles mesures sont appliquées conjointement avec des restrictions à la production ou à la consommation nationale » doivent être interprété comme étant une clause qui érige une obligation d’impartialité dans l’application des restrictions</w:t>
      </w:r>
      <w:r>
        <w:rPr>
          <w:rStyle w:val="Marquenotebasdepage"/>
          <w:rFonts w:ascii="Times New Roman" w:hAnsi="Times New Roman"/>
        </w:rPr>
        <w:footnoteReference w:id="452"/>
      </w:r>
      <w:r>
        <w:rPr>
          <w:rFonts w:ascii="Times New Roman" w:hAnsi="Times New Roman"/>
        </w:rPr>
        <w:t>. Ainsi, il s’agit d’une règle qui requiert que les mesures en cause imposent des restrictions tant à l’essence importée et qu’à l’essence nationale</w:t>
      </w:r>
      <w:r>
        <w:rPr>
          <w:rStyle w:val="Marquenotebasdepage"/>
          <w:rFonts w:ascii="Times New Roman" w:hAnsi="Times New Roman"/>
        </w:rPr>
        <w:footnoteReference w:id="453"/>
      </w:r>
      <w:r>
        <w:rPr>
          <w:rFonts w:ascii="Times New Roman" w:hAnsi="Times New Roman"/>
        </w:rPr>
        <w:t xml:space="preserve">. Il </w:t>
      </w:r>
      <w:r w:rsidRPr="00200456">
        <w:rPr>
          <w:rFonts w:ascii="Times New Roman" w:hAnsi="Times New Roman"/>
        </w:rPr>
        <w:t>convient toutefois de souligner que cette obligation d’imp</w:t>
      </w:r>
      <w:r w:rsidR="00854A80" w:rsidRPr="00200456">
        <w:rPr>
          <w:rFonts w:ascii="Times New Roman" w:hAnsi="Times New Roman"/>
        </w:rPr>
        <w:t xml:space="preserve">artialité ne peut en aucun cas </w:t>
      </w:r>
      <w:r w:rsidRPr="00200456">
        <w:rPr>
          <w:rFonts w:ascii="Times New Roman" w:hAnsi="Times New Roman"/>
        </w:rPr>
        <w:t>être confondue avec l’obligation de non discrimination de l’article III § 4 de l’Accord général</w:t>
      </w:r>
      <w:r w:rsidRPr="00200456">
        <w:rPr>
          <w:rStyle w:val="Marquenotebasdepage"/>
          <w:rFonts w:ascii="Times New Roman" w:hAnsi="Times New Roman"/>
        </w:rPr>
        <w:footnoteReference w:id="454"/>
      </w:r>
      <w:r w:rsidR="00200456" w:rsidRPr="00200456">
        <w:rPr>
          <w:rFonts w:ascii="Times New Roman" w:hAnsi="Times New Roman"/>
        </w:rPr>
        <w:t>.</w:t>
      </w:r>
      <w:r w:rsidR="00200456">
        <w:rPr>
          <w:rFonts w:ascii="Times New Roman" w:hAnsi="Times New Roman"/>
        </w:rPr>
        <w:t xml:space="preserve"> En conséquence, le fait que </w:t>
      </w:r>
      <w:r>
        <w:rPr>
          <w:rFonts w:ascii="Times New Roman" w:hAnsi="Times New Roman"/>
        </w:rPr>
        <w:t xml:space="preserve">l’essence importée soit soumise à un traitement moins favorable que l’essence nationale selon cet article n’est pas pertinente pour déterminer si la mesure en cause relève de l’article XX </w:t>
      </w:r>
      <w:r w:rsidRPr="00641133">
        <w:rPr>
          <w:rFonts w:ascii="Times New Roman" w:hAnsi="Times New Roman"/>
          <w:i/>
        </w:rPr>
        <w:t>g)</w:t>
      </w:r>
      <w:r w:rsidRPr="00466A38">
        <w:rPr>
          <w:rStyle w:val="Marquenotebasdepage"/>
          <w:rFonts w:ascii="Times New Roman" w:hAnsi="Times New Roman"/>
        </w:rPr>
        <w:footnoteReference w:id="455"/>
      </w:r>
      <w:r w:rsidRPr="00466A38">
        <w:rPr>
          <w:rFonts w:ascii="Times New Roman" w:hAnsi="Times New Roman"/>
        </w:rPr>
        <w:t>.</w:t>
      </w:r>
      <w:r>
        <w:rPr>
          <w:rFonts w:ascii="Times New Roman" w:hAnsi="Times New Roman"/>
        </w:rPr>
        <w:t xml:space="preserve"> </w:t>
      </w:r>
    </w:p>
    <w:p w14:paraId="0099C7F3" w14:textId="77777777" w:rsidR="00624F4C" w:rsidRDefault="00624F4C" w:rsidP="00624F4C">
      <w:pPr>
        <w:rPr>
          <w:rFonts w:ascii="Times New Roman" w:hAnsi="Times New Roman" w:cs="Times New Roman"/>
          <w:highlight w:val="red"/>
        </w:rPr>
      </w:pPr>
    </w:p>
    <w:p w14:paraId="26987006" w14:textId="1A9338AB" w:rsidR="00624F4C" w:rsidRPr="00466A38" w:rsidRDefault="00624F4C" w:rsidP="00624F4C">
      <w:pPr>
        <w:spacing w:line="360" w:lineRule="auto"/>
        <w:jc w:val="both"/>
        <w:rPr>
          <w:rFonts w:ascii="Times New Roman" w:hAnsi="Times New Roman" w:cs="Times New Roman"/>
        </w:rPr>
      </w:pPr>
      <w:r>
        <w:rPr>
          <w:rFonts w:ascii="Times New Roman" w:hAnsi="Times New Roman" w:cs="Times New Roman"/>
        </w:rPr>
        <w:t>I</w:t>
      </w:r>
      <w:r w:rsidR="00200456">
        <w:rPr>
          <w:rFonts w:ascii="Times New Roman" w:hAnsi="Times New Roman" w:cs="Times New Roman"/>
        </w:rPr>
        <w:t>l convient de remarquer qu’il n’existe</w:t>
      </w:r>
      <w:r>
        <w:rPr>
          <w:rFonts w:ascii="Times New Roman" w:hAnsi="Times New Roman" w:cs="Times New Roman"/>
        </w:rPr>
        <w:t xml:space="preserve"> aucun texte sur lequel se fonder afin d’exiger que les produits nationaux et importés soient soumis à un traitement identique</w:t>
      </w:r>
      <w:r w:rsidR="00892250">
        <w:rPr>
          <w:rStyle w:val="Marquenotebasdepage"/>
          <w:rFonts w:ascii="Times New Roman" w:hAnsi="Times New Roman" w:cs="Times New Roman"/>
        </w:rPr>
        <w:footnoteReference w:id="456"/>
      </w:r>
      <w:r>
        <w:rPr>
          <w:rFonts w:ascii="Times New Roman" w:hAnsi="Times New Roman" w:cs="Times New Roman"/>
        </w:rPr>
        <w:t>. Lorsqu’il y a une identité de traitement, il n’y a pas d’incompatibilité avec l’article III§4</w:t>
      </w:r>
      <w:r w:rsidR="00892250">
        <w:rPr>
          <w:rStyle w:val="Marquenotebasdepage"/>
          <w:rFonts w:ascii="Times New Roman" w:hAnsi="Times New Roman" w:cs="Times New Roman"/>
        </w:rPr>
        <w:footnoteReference w:id="457"/>
      </w:r>
      <w:r>
        <w:rPr>
          <w:rFonts w:ascii="Times New Roman" w:hAnsi="Times New Roman" w:cs="Times New Roman"/>
        </w:rPr>
        <w:t>. Si une restriction n’est pas imposée sur les produits similaires d’origine nationale et si toutes les limitations frappent exclusivement les produits importés, la mesure ne peut être considérée comme destinée principalement ou de manière substantielle à la réalisation d’objectifs de conservation</w:t>
      </w:r>
      <w:r w:rsidR="00892250">
        <w:rPr>
          <w:rStyle w:val="Marquenotebasdepage"/>
          <w:rFonts w:ascii="Times New Roman" w:hAnsi="Times New Roman" w:cs="Times New Roman"/>
        </w:rPr>
        <w:footnoteReference w:id="458"/>
      </w:r>
      <w:r>
        <w:rPr>
          <w:rFonts w:ascii="Times New Roman" w:hAnsi="Times New Roman" w:cs="Times New Roman"/>
        </w:rPr>
        <w:t>. En effet, il s’agit d’une discrimination manifeste qui est destinée à protéger les produits d’origine locale</w:t>
      </w:r>
      <w:r w:rsidR="00892250">
        <w:rPr>
          <w:rStyle w:val="Marquenotebasdepage"/>
          <w:rFonts w:ascii="Times New Roman" w:hAnsi="Times New Roman" w:cs="Times New Roman"/>
        </w:rPr>
        <w:footnoteReference w:id="459"/>
      </w:r>
      <w:r>
        <w:rPr>
          <w:rFonts w:ascii="Times New Roman" w:hAnsi="Times New Roman" w:cs="Times New Roman"/>
        </w:rPr>
        <w:t>.</w:t>
      </w:r>
    </w:p>
    <w:p w14:paraId="410E593E" w14:textId="77777777" w:rsidR="00624F4C" w:rsidRDefault="00624F4C" w:rsidP="00624F4C">
      <w:pPr>
        <w:rPr>
          <w:rFonts w:ascii="Times New Roman" w:hAnsi="Times New Roman" w:cs="Times New Roman"/>
          <w:highlight w:val="red"/>
        </w:rPr>
      </w:pPr>
    </w:p>
    <w:p w14:paraId="27B02457" w14:textId="6AD1B59D" w:rsidR="00624F4C" w:rsidRPr="00466A38" w:rsidRDefault="00624F4C" w:rsidP="00624F4C">
      <w:pPr>
        <w:spacing w:line="360" w:lineRule="auto"/>
        <w:jc w:val="both"/>
        <w:rPr>
          <w:rFonts w:ascii="Times New Roman" w:hAnsi="Times New Roman"/>
        </w:rPr>
      </w:pPr>
      <w:r>
        <w:rPr>
          <w:rFonts w:ascii="Times New Roman" w:hAnsi="Times New Roman"/>
        </w:rPr>
        <w:t xml:space="preserve">En outre, l’Organe d’appel a souligné que la </w:t>
      </w:r>
      <w:r w:rsidRPr="00570190">
        <w:rPr>
          <w:rFonts w:ascii="Times New Roman" w:hAnsi="Times New Roman"/>
        </w:rPr>
        <w:t xml:space="preserve">thèse selon laquelle une mesure peut être justifiée au regard de l’article XX </w:t>
      </w:r>
      <w:r w:rsidRPr="00570190">
        <w:rPr>
          <w:rFonts w:ascii="Times New Roman" w:hAnsi="Times New Roman"/>
          <w:i/>
        </w:rPr>
        <w:t>g)</w:t>
      </w:r>
      <w:r w:rsidRPr="00570190">
        <w:rPr>
          <w:rFonts w:ascii="Times New Roman" w:hAnsi="Times New Roman"/>
        </w:rPr>
        <w:t xml:space="preserve"> du GATT uniquement si sa mise en œuvre produit des effets positifs sur la réalisation des politiques ou des objectifs poursuivis par les Etats n’est pas valide selon lui</w:t>
      </w:r>
      <w:r w:rsidR="00200456" w:rsidRPr="00570190">
        <w:rPr>
          <w:rFonts w:ascii="Times New Roman" w:hAnsi="Times New Roman"/>
        </w:rPr>
        <w:t xml:space="preserve">. </w:t>
      </w:r>
      <w:r w:rsidRPr="00570190">
        <w:rPr>
          <w:rStyle w:val="Marquenotebasdepage"/>
          <w:rFonts w:ascii="Times New Roman" w:hAnsi="Times New Roman"/>
        </w:rPr>
        <w:footnoteReference w:id="460"/>
      </w:r>
      <w:r w:rsidRPr="00570190">
        <w:rPr>
          <w:rFonts w:ascii="Times New Roman" w:hAnsi="Times New Roman"/>
        </w:rPr>
        <w:t>. D’une part, il considère que l’exigence</w:t>
      </w:r>
      <w:r>
        <w:rPr>
          <w:rFonts w:ascii="Times New Roman" w:hAnsi="Times New Roman"/>
        </w:rPr>
        <w:t xml:space="preserve"> d’un li</w:t>
      </w:r>
      <w:r w:rsidR="00200456">
        <w:rPr>
          <w:rFonts w:ascii="Times New Roman" w:hAnsi="Times New Roman"/>
        </w:rPr>
        <w:t xml:space="preserve">en de causalité peut </w:t>
      </w:r>
      <w:r w:rsidR="00200456" w:rsidRPr="00200456">
        <w:rPr>
          <w:rFonts w:ascii="Times New Roman" w:hAnsi="Times New Roman"/>
        </w:rPr>
        <w:t>constituer</w:t>
      </w:r>
      <w:r>
        <w:rPr>
          <w:rFonts w:ascii="Times New Roman" w:hAnsi="Times New Roman"/>
        </w:rPr>
        <w:t xml:space="preserve"> un obstacle insurmontable et d’autre part, il mentionne qu’un certain laps de temps peut s’écouler avant de constater que les effets résultent bien de la mise en œuvre d’une mesure lorsqu’il s’agit de la conservation de ressources naturelles épuisables</w:t>
      </w:r>
      <w:r>
        <w:rPr>
          <w:rStyle w:val="Marquenotebasdepage"/>
          <w:rFonts w:ascii="Times New Roman" w:hAnsi="Times New Roman"/>
        </w:rPr>
        <w:footnoteReference w:id="461"/>
      </w:r>
      <w:r>
        <w:rPr>
          <w:rFonts w:ascii="Times New Roman" w:hAnsi="Times New Roman"/>
        </w:rPr>
        <w:t>.</w:t>
      </w:r>
    </w:p>
    <w:p w14:paraId="2B6EE7C9" w14:textId="77777777" w:rsidR="00624F4C" w:rsidRDefault="00624F4C" w:rsidP="00624F4C"/>
    <w:p w14:paraId="07EEB073" w14:textId="77777777" w:rsidR="003A3733" w:rsidRDefault="003A3733" w:rsidP="003A3733">
      <w:pPr>
        <w:spacing w:line="360" w:lineRule="auto"/>
        <w:jc w:val="both"/>
        <w:rPr>
          <w:rFonts w:ascii="Times New Roman" w:hAnsi="Times New Roman"/>
          <w:highlight w:val="cyan"/>
        </w:rPr>
      </w:pPr>
      <w:r w:rsidRPr="00466A38">
        <w:rPr>
          <w:rFonts w:ascii="Times New Roman" w:hAnsi="Times New Roman"/>
        </w:rPr>
        <w:t xml:space="preserve">Dans l’affaire </w:t>
      </w:r>
      <w:r w:rsidRPr="00466A38">
        <w:rPr>
          <w:rFonts w:ascii="Times New Roman" w:hAnsi="Times New Roman"/>
          <w:i/>
        </w:rPr>
        <w:t>Crevettes</w:t>
      </w:r>
      <w:r w:rsidRPr="00466A38">
        <w:rPr>
          <w:rFonts w:ascii="Times New Roman" w:hAnsi="Times New Roman"/>
        </w:rPr>
        <w:t xml:space="preserve">, </w:t>
      </w:r>
      <w:r>
        <w:rPr>
          <w:rFonts w:ascii="Times New Roman" w:hAnsi="Times New Roman"/>
        </w:rPr>
        <w:t>l’Organe d’appel a considéré qu’il fallait examiner si les restrictions imposées en vertu de l’article 609 à l’égard des crevettes importées étaient également imposées à l’égard des crevettes pêchées par les crevettiers américains</w:t>
      </w:r>
      <w:r>
        <w:rPr>
          <w:rStyle w:val="Marquenotebasdepage"/>
          <w:rFonts w:ascii="Times New Roman" w:hAnsi="Times New Roman"/>
        </w:rPr>
        <w:footnoteReference w:id="462"/>
      </w:r>
      <w:r>
        <w:rPr>
          <w:rFonts w:ascii="Times New Roman" w:hAnsi="Times New Roman"/>
        </w:rPr>
        <w:t>. L’Organe d’appel a constaté que deux ans avant la plainte, les Etats-Unis imposaient des mesures similaires concernant la production nationale à savoir des mesures imposant l’utilisation de DET agréés dans des zones et à des époques où ils étaient susceptibles d’intercepter des tortues marines</w:t>
      </w:r>
      <w:r>
        <w:rPr>
          <w:rStyle w:val="Marquenotebasdepage"/>
          <w:rFonts w:ascii="Times New Roman" w:hAnsi="Times New Roman"/>
        </w:rPr>
        <w:footnoteReference w:id="463"/>
      </w:r>
      <w:r>
        <w:rPr>
          <w:rFonts w:ascii="Times New Roman" w:hAnsi="Times New Roman"/>
        </w:rPr>
        <w:t>. Il convient dès lors d’affirmer que la condition de l’application conjointe de restrictions à la production ou à la consommation nationale était remplie</w:t>
      </w:r>
      <w:r>
        <w:rPr>
          <w:rStyle w:val="Marquenotebasdepage"/>
          <w:rFonts w:ascii="Times New Roman" w:hAnsi="Times New Roman"/>
        </w:rPr>
        <w:footnoteReference w:id="464"/>
      </w:r>
      <w:r>
        <w:rPr>
          <w:rFonts w:ascii="Times New Roman" w:hAnsi="Times New Roman"/>
        </w:rPr>
        <w:t xml:space="preserve">. En conséquence, l’Organe d’appel a conclu que l’article 609 devait être considéré comme une mesure impartiale et </w:t>
      </w:r>
      <w:r w:rsidRPr="00466A38">
        <w:rPr>
          <w:rFonts w:ascii="Times New Roman" w:hAnsi="Times New Roman"/>
          <w:i/>
        </w:rPr>
        <w:t>« appliquée conjointement avec des restrictions frappant la pêche des crevettes au niveau national »</w:t>
      </w:r>
      <w:r>
        <w:rPr>
          <w:rStyle w:val="Marquenotebasdepage"/>
          <w:rFonts w:ascii="Times New Roman" w:hAnsi="Times New Roman"/>
          <w:i/>
        </w:rPr>
        <w:footnoteReference w:id="465"/>
      </w:r>
      <w:r>
        <w:rPr>
          <w:rFonts w:ascii="Times New Roman" w:hAnsi="Times New Roman"/>
        </w:rPr>
        <w:t>.</w:t>
      </w:r>
    </w:p>
    <w:p w14:paraId="4E22F176" w14:textId="77777777" w:rsidR="00835E77" w:rsidRPr="00835E77" w:rsidRDefault="00835E77" w:rsidP="00624F4C">
      <w:pPr>
        <w:spacing w:line="360" w:lineRule="auto"/>
        <w:jc w:val="both"/>
        <w:rPr>
          <w:rFonts w:ascii="Times New Roman" w:hAnsi="Times New Roman"/>
          <w:highlight w:val="cyan"/>
        </w:rPr>
      </w:pPr>
    </w:p>
    <w:p w14:paraId="16CE2240" w14:textId="77777777" w:rsidR="00624F4C" w:rsidRPr="00466A38" w:rsidRDefault="00624F4C" w:rsidP="00624F4C">
      <w:pPr>
        <w:pStyle w:val="Paragraphedeliste"/>
        <w:numPr>
          <w:ilvl w:val="0"/>
          <w:numId w:val="14"/>
        </w:numPr>
        <w:spacing w:line="360" w:lineRule="auto"/>
        <w:jc w:val="both"/>
        <w:rPr>
          <w:rFonts w:ascii="Times New Roman" w:hAnsi="Times New Roman" w:cs="Times New Roman"/>
          <w:b/>
        </w:rPr>
      </w:pPr>
      <w:r w:rsidRPr="00466A38">
        <w:rPr>
          <w:rFonts w:ascii="Times New Roman" w:hAnsi="Times New Roman" w:cs="Times New Roman"/>
          <w:b/>
        </w:rPr>
        <w:t>Application de l’article XX g) dans la sphère de compétence du pays</w:t>
      </w:r>
    </w:p>
    <w:p w14:paraId="2C2DA04D" w14:textId="65DAA7E3" w:rsidR="00835E77" w:rsidRDefault="00624F4C" w:rsidP="00624F4C">
      <w:pPr>
        <w:spacing w:line="360" w:lineRule="auto"/>
        <w:jc w:val="both"/>
        <w:rPr>
          <w:rFonts w:ascii="Times New Roman" w:hAnsi="Times New Roman" w:cs="Times New Roman"/>
        </w:rPr>
      </w:pPr>
      <w:r w:rsidRPr="00C818FF">
        <w:rPr>
          <w:rFonts w:ascii="Times New Roman" w:hAnsi="Times New Roman" w:cs="Times New Roman"/>
        </w:rPr>
        <w:t xml:space="preserve">Dans les rapports des Groupes spéciaux de </w:t>
      </w:r>
      <w:r w:rsidRPr="00C818FF">
        <w:rPr>
          <w:rFonts w:ascii="Times New Roman" w:hAnsi="Times New Roman" w:cs="Times New Roman"/>
          <w:i/>
        </w:rPr>
        <w:t>Thon I</w:t>
      </w:r>
      <w:r w:rsidRPr="00C818FF">
        <w:rPr>
          <w:rFonts w:ascii="Times New Roman" w:hAnsi="Times New Roman" w:cs="Times New Roman"/>
        </w:rPr>
        <w:t xml:space="preserve"> et de </w:t>
      </w:r>
      <w:r w:rsidRPr="00C818FF">
        <w:rPr>
          <w:rFonts w:ascii="Times New Roman" w:hAnsi="Times New Roman" w:cs="Times New Roman"/>
          <w:i/>
        </w:rPr>
        <w:t>Thon II</w:t>
      </w:r>
      <w:r w:rsidRPr="00C818FF">
        <w:rPr>
          <w:rFonts w:ascii="Times New Roman" w:hAnsi="Times New Roman" w:cs="Times New Roman"/>
        </w:rPr>
        <w:t xml:space="preserve">, l’application de l’article XX </w:t>
      </w:r>
      <w:r w:rsidRPr="00C818FF">
        <w:rPr>
          <w:rFonts w:ascii="Times New Roman" w:hAnsi="Times New Roman" w:cs="Times New Roman"/>
          <w:i/>
        </w:rPr>
        <w:t>g)</w:t>
      </w:r>
      <w:r w:rsidRPr="00C818FF">
        <w:rPr>
          <w:rFonts w:ascii="Times New Roman" w:hAnsi="Times New Roman" w:cs="Times New Roman"/>
        </w:rPr>
        <w:t xml:space="preserve"> dans la sphère de compétence des pays concernés a été analysée. Le raisonnement </w:t>
      </w:r>
      <w:r w:rsidR="00C818FF" w:rsidRPr="00C818FF">
        <w:rPr>
          <w:rFonts w:ascii="Times New Roman" w:hAnsi="Times New Roman" w:cs="Times New Roman"/>
        </w:rPr>
        <w:t xml:space="preserve">suivi par ces deux Groupes spéciaux </w:t>
      </w:r>
      <w:r w:rsidRPr="00C818FF">
        <w:rPr>
          <w:rFonts w:ascii="Times New Roman" w:hAnsi="Times New Roman" w:cs="Times New Roman"/>
        </w:rPr>
        <w:t>diffère</w:t>
      </w:r>
      <w:r w:rsidR="00C818FF">
        <w:rPr>
          <w:rFonts w:ascii="Times New Roman" w:hAnsi="Times New Roman" w:cs="Times New Roman"/>
        </w:rPr>
        <w:t>.</w:t>
      </w:r>
    </w:p>
    <w:p w14:paraId="55336640" w14:textId="77777777" w:rsidR="00073B6C" w:rsidRPr="00835E77" w:rsidRDefault="00073B6C" w:rsidP="00624F4C">
      <w:pPr>
        <w:spacing w:line="360" w:lineRule="auto"/>
        <w:jc w:val="both"/>
        <w:rPr>
          <w:rFonts w:ascii="Times New Roman" w:hAnsi="Times New Roman" w:cs="Times New Roman"/>
        </w:rPr>
      </w:pPr>
    </w:p>
    <w:p w14:paraId="56FF97DA" w14:textId="77777777" w:rsidR="00624F4C" w:rsidRDefault="00624F4C" w:rsidP="00624F4C">
      <w:pPr>
        <w:spacing w:line="360" w:lineRule="auto"/>
        <w:jc w:val="both"/>
        <w:rPr>
          <w:rFonts w:ascii="Times New Roman" w:hAnsi="Times New Roman" w:cs="Times New Roman"/>
        </w:rPr>
      </w:pPr>
      <w:r>
        <w:rPr>
          <w:rFonts w:ascii="Times New Roman" w:hAnsi="Times New Roman" w:cs="Times New Roman"/>
          <w:b/>
        </w:rPr>
        <w:t>1. Distinction entre territoire et sphère de compétence</w:t>
      </w:r>
    </w:p>
    <w:p w14:paraId="35411A08" w14:textId="138EB058" w:rsidR="00624F4C" w:rsidRDefault="00624F4C" w:rsidP="00624F4C">
      <w:pPr>
        <w:spacing w:line="360" w:lineRule="auto"/>
        <w:jc w:val="both"/>
        <w:rPr>
          <w:rFonts w:ascii="Times New Roman" w:hAnsi="Times New Roman" w:cs="Times New Roman"/>
        </w:rPr>
      </w:pPr>
      <w:r>
        <w:rPr>
          <w:rFonts w:ascii="Times New Roman" w:hAnsi="Times New Roman" w:cs="Times New Roman"/>
        </w:rPr>
        <w:t xml:space="preserve">Dans l’affaire </w:t>
      </w:r>
      <w:r w:rsidRPr="00747DAD">
        <w:rPr>
          <w:rFonts w:ascii="Times New Roman" w:hAnsi="Times New Roman" w:cs="Times New Roman"/>
          <w:i/>
        </w:rPr>
        <w:t>Thon II</w:t>
      </w:r>
      <w:r>
        <w:rPr>
          <w:rFonts w:ascii="Times New Roman" w:hAnsi="Times New Roman" w:cs="Times New Roman"/>
        </w:rPr>
        <w:t xml:space="preserve">, le Groupe spécial s’est penché sur l’application territoriale de l’article XX </w:t>
      </w:r>
      <w:r w:rsidRPr="00747DAD">
        <w:rPr>
          <w:rFonts w:ascii="Times New Roman" w:hAnsi="Times New Roman" w:cs="Times New Roman"/>
          <w:i/>
        </w:rPr>
        <w:t>g)</w:t>
      </w:r>
      <w:r>
        <w:rPr>
          <w:rFonts w:ascii="Times New Roman" w:hAnsi="Times New Roman" w:cs="Times New Roman"/>
        </w:rPr>
        <w:t xml:space="preserve">. Il a de plus établi une distinction entre le territoire et la sphère de compétence qui ne figure pas dans l’affaire </w:t>
      </w:r>
      <w:r w:rsidRPr="00747DAD">
        <w:rPr>
          <w:rFonts w:ascii="Times New Roman" w:hAnsi="Times New Roman" w:cs="Times New Roman"/>
          <w:i/>
        </w:rPr>
        <w:t>Thon I</w:t>
      </w:r>
      <w:r w:rsidR="00CF4680">
        <w:rPr>
          <w:rStyle w:val="Marquenotebasdepage"/>
          <w:rFonts w:ascii="Times New Roman" w:hAnsi="Times New Roman" w:cs="Times New Roman"/>
          <w:i/>
        </w:rPr>
        <w:footnoteReference w:id="466"/>
      </w:r>
      <w:r>
        <w:rPr>
          <w:rFonts w:ascii="Times New Roman" w:hAnsi="Times New Roman" w:cs="Times New Roman"/>
        </w:rPr>
        <w:t xml:space="preserve">. </w:t>
      </w:r>
      <w:r w:rsidR="00747DAD">
        <w:rPr>
          <w:rFonts w:ascii="Times New Roman" w:hAnsi="Times New Roman" w:cs="Times New Roman"/>
        </w:rPr>
        <w:t>Tout d’abord, l</w:t>
      </w:r>
      <w:r>
        <w:rPr>
          <w:rFonts w:ascii="Times New Roman" w:hAnsi="Times New Roman" w:cs="Times New Roman"/>
        </w:rPr>
        <w:t xml:space="preserve">e Groupe spécial a constaté </w:t>
      </w:r>
      <w:r w:rsidR="00C818FF">
        <w:rPr>
          <w:rFonts w:ascii="Times New Roman" w:hAnsi="Times New Roman" w:cs="Times New Roman"/>
        </w:rPr>
        <w:t xml:space="preserve">d’une part, </w:t>
      </w:r>
      <w:r>
        <w:rPr>
          <w:rFonts w:ascii="Times New Roman" w:hAnsi="Times New Roman" w:cs="Times New Roman"/>
        </w:rPr>
        <w:t xml:space="preserve">que le texte de l’article XX </w:t>
      </w:r>
      <w:r w:rsidRPr="00747DAD">
        <w:rPr>
          <w:rFonts w:ascii="Times New Roman" w:hAnsi="Times New Roman" w:cs="Times New Roman"/>
          <w:i/>
        </w:rPr>
        <w:t>g)</w:t>
      </w:r>
      <w:r>
        <w:rPr>
          <w:rFonts w:ascii="Times New Roman" w:hAnsi="Times New Roman" w:cs="Times New Roman"/>
        </w:rPr>
        <w:t xml:space="preserve"> ne prévoyait pas </w:t>
      </w:r>
      <w:r w:rsidRPr="00747DAD">
        <w:rPr>
          <w:rFonts w:ascii="Times New Roman" w:hAnsi="Times New Roman" w:cs="Times New Roman"/>
          <w:i/>
        </w:rPr>
        <w:t>« la nature et le champ précis de la politique visée par l’article, la conservation des ressources naturelles épuisables »</w:t>
      </w:r>
      <w:r w:rsidR="00BB35B6">
        <w:rPr>
          <w:rStyle w:val="Marquenotebasdepage"/>
          <w:rFonts w:ascii="Times New Roman" w:hAnsi="Times New Roman" w:cs="Times New Roman"/>
          <w:i/>
        </w:rPr>
        <w:footnoteReference w:id="467"/>
      </w:r>
      <w:r>
        <w:rPr>
          <w:rFonts w:ascii="Times New Roman" w:hAnsi="Times New Roman" w:cs="Times New Roman"/>
        </w:rPr>
        <w:t xml:space="preserve">, et d’autre part, qu’il n’y avait pas de précision quant à </w:t>
      </w:r>
      <w:r w:rsidRPr="00747DAD">
        <w:rPr>
          <w:rFonts w:ascii="Times New Roman" w:hAnsi="Times New Roman" w:cs="Times New Roman"/>
          <w:i/>
        </w:rPr>
        <w:t>« l’emplacement de la ressource naturelle épuisable à conserver »</w:t>
      </w:r>
      <w:r w:rsidR="00747DAD">
        <w:rPr>
          <w:rStyle w:val="Marquenotebasdepage"/>
          <w:rFonts w:ascii="Times New Roman" w:hAnsi="Times New Roman" w:cs="Times New Roman"/>
          <w:i/>
        </w:rPr>
        <w:footnoteReference w:id="468"/>
      </w:r>
      <w:r w:rsidR="00C818FF">
        <w:rPr>
          <w:rFonts w:ascii="Times New Roman" w:hAnsi="Times New Roman" w:cs="Times New Roman"/>
        </w:rPr>
        <w:t>. Le Groupe spécial a noté</w:t>
      </w:r>
      <w:r>
        <w:rPr>
          <w:rFonts w:ascii="Times New Roman" w:hAnsi="Times New Roman" w:cs="Times New Roman"/>
        </w:rPr>
        <w:t xml:space="preserve"> que dans les affaires </w:t>
      </w:r>
      <w:r w:rsidRPr="00747DAD">
        <w:rPr>
          <w:rFonts w:ascii="Times New Roman" w:hAnsi="Times New Roman" w:cs="Times New Roman"/>
          <w:i/>
        </w:rPr>
        <w:t>Thon 1982</w:t>
      </w:r>
      <w:r>
        <w:rPr>
          <w:rFonts w:ascii="Times New Roman" w:hAnsi="Times New Roman" w:cs="Times New Roman"/>
        </w:rPr>
        <w:t xml:space="preserve"> et </w:t>
      </w:r>
      <w:r w:rsidRPr="00747DAD">
        <w:rPr>
          <w:rFonts w:ascii="Times New Roman" w:hAnsi="Times New Roman" w:cs="Times New Roman"/>
          <w:i/>
        </w:rPr>
        <w:t>Saumons/Harengs</w:t>
      </w:r>
      <w:r>
        <w:rPr>
          <w:rFonts w:ascii="Times New Roman" w:hAnsi="Times New Roman" w:cs="Times New Roman"/>
        </w:rPr>
        <w:t xml:space="preserve">, les Groupes spéciaux avaient estimé que l’article XX </w:t>
      </w:r>
      <w:r w:rsidRPr="00747DAD">
        <w:rPr>
          <w:rFonts w:ascii="Times New Roman" w:hAnsi="Times New Roman" w:cs="Times New Roman"/>
          <w:i/>
        </w:rPr>
        <w:t>g)</w:t>
      </w:r>
      <w:r>
        <w:rPr>
          <w:rFonts w:ascii="Times New Roman" w:hAnsi="Times New Roman" w:cs="Times New Roman"/>
        </w:rPr>
        <w:t xml:space="preserve"> s’appliquait aux politiques relatives à des poissons migra</w:t>
      </w:r>
      <w:r w:rsidR="00747DAD">
        <w:rPr>
          <w:rFonts w:ascii="Times New Roman" w:hAnsi="Times New Roman" w:cs="Times New Roman"/>
        </w:rPr>
        <w:t>teurs mais n’avaient cependant</w:t>
      </w:r>
      <w:r>
        <w:rPr>
          <w:rFonts w:ascii="Times New Roman" w:hAnsi="Times New Roman" w:cs="Times New Roman"/>
        </w:rPr>
        <w:t xml:space="preserve"> pas effectué de distinction entre ces poissons </w:t>
      </w:r>
      <w:r w:rsidR="00747DAD" w:rsidRPr="00747DAD">
        <w:rPr>
          <w:rFonts w:ascii="Times New Roman" w:hAnsi="Times New Roman" w:cs="Times New Roman"/>
          <w:i/>
        </w:rPr>
        <w:t>« </w:t>
      </w:r>
      <w:r w:rsidRPr="00747DAD">
        <w:rPr>
          <w:rFonts w:ascii="Times New Roman" w:hAnsi="Times New Roman" w:cs="Times New Roman"/>
          <w:i/>
        </w:rPr>
        <w:t>selon qu’ils étaient pris dans les limites ou hors du territoire relevant de la compétence de la partie contractante qui avait invoqué cette disposition »</w:t>
      </w:r>
      <w:r>
        <w:rPr>
          <w:rStyle w:val="Marquenotebasdepage"/>
          <w:rFonts w:ascii="Times New Roman" w:hAnsi="Times New Roman" w:cs="Times New Roman"/>
        </w:rPr>
        <w:footnoteReference w:id="469"/>
      </w:r>
      <w:r>
        <w:rPr>
          <w:rFonts w:ascii="Times New Roman" w:hAnsi="Times New Roman" w:cs="Times New Roman"/>
        </w:rPr>
        <w:t>.</w:t>
      </w:r>
    </w:p>
    <w:p w14:paraId="1D9070D0" w14:textId="77777777" w:rsidR="00624F4C" w:rsidRDefault="00624F4C" w:rsidP="00624F4C">
      <w:pPr>
        <w:spacing w:line="360" w:lineRule="auto"/>
        <w:jc w:val="both"/>
        <w:rPr>
          <w:rFonts w:ascii="Times New Roman" w:hAnsi="Times New Roman" w:cs="Times New Roman"/>
        </w:rPr>
      </w:pPr>
    </w:p>
    <w:p w14:paraId="6633242C" w14:textId="44FD6CC3" w:rsidR="00624F4C" w:rsidRDefault="00747DAD" w:rsidP="00624F4C">
      <w:pPr>
        <w:spacing w:line="360" w:lineRule="auto"/>
        <w:jc w:val="both"/>
        <w:rPr>
          <w:rFonts w:ascii="Times New Roman" w:hAnsi="Times New Roman" w:cs="Times New Roman"/>
        </w:rPr>
      </w:pPr>
      <w:r>
        <w:rPr>
          <w:rFonts w:ascii="Times New Roman" w:hAnsi="Times New Roman" w:cs="Times New Roman"/>
        </w:rPr>
        <w:t>En ayant égard</w:t>
      </w:r>
      <w:r w:rsidR="00624F4C">
        <w:rPr>
          <w:rFonts w:ascii="Times New Roman" w:hAnsi="Times New Roman" w:cs="Times New Roman"/>
        </w:rPr>
        <w:t xml:space="preserve"> a</w:t>
      </w:r>
      <w:r>
        <w:rPr>
          <w:rFonts w:ascii="Times New Roman" w:hAnsi="Times New Roman" w:cs="Times New Roman"/>
        </w:rPr>
        <w:t>u contexte dans lequel s’inscrivait</w:t>
      </w:r>
      <w:r w:rsidR="00624F4C">
        <w:rPr>
          <w:rFonts w:ascii="Times New Roman" w:hAnsi="Times New Roman" w:cs="Times New Roman"/>
        </w:rPr>
        <w:t xml:space="preserve"> l’article XX </w:t>
      </w:r>
      <w:r w:rsidR="00624F4C" w:rsidRPr="00747DAD">
        <w:rPr>
          <w:rFonts w:ascii="Times New Roman" w:hAnsi="Times New Roman" w:cs="Times New Roman"/>
          <w:i/>
        </w:rPr>
        <w:t>g)</w:t>
      </w:r>
      <w:r w:rsidR="00624F4C">
        <w:rPr>
          <w:rFonts w:ascii="Times New Roman" w:hAnsi="Times New Roman" w:cs="Times New Roman"/>
        </w:rPr>
        <w:t>, le G</w:t>
      </w:r>
      <w:r>
        <w:rPr>
          <w:rFonts w:ascii="Times New Roman" w:hAnsi="Times New Roman" w:cs="Times New Roman"/>
        </w:rPr>
        <w:t>roupe spécial a c</w:t>
      </w:r>
      <w:r w:rsidR="00BD0438">
        <w:rPr>
          <w:rFonts w:ascii="Times New Roman" w:hAnsi="Times New Roman" w:cs="Times New Roman"/>
        </w:rPr>
        <w:t xml:space="preserve">onsidéré que des mesures </w:t>
      </w:r>
      <w:r>
        <w:rPr>
          <w:rFonts w:ascii="Times New Roman" w:hAnsi="Times New Roman" w:cs="Times New Roman"/>
        </w:rPr>
        <w:t>prévoyai</w:t>
      </w:r>
      <w:r w:rsidR="00624F4C">
        <w:rPr>
          <w:rFonts w:ascii="Times New Roman" w:hAnsi="Times New Roman" w:cs="Times New Roman"/>
        </w:rPr>
        <w:t>ent un traitement différent pour des p</w:t>
      </w:r>
      <w:r w:rsidR="00BD0438">
        <w:rPr>
          <w:rFonts w:ascii="Times New Roman" w:hAnsi="Times New Roman" w:cs="Times New Roman"/>
        </w:rPr>
        <w:t>roduits d’origine différente pouvai</w:t>
      </w:r>
      <w:r w:rsidR="00624F4C">
        <w:rPr>
          <w:rFonts w:ascii="Times New Roman" w:hAnsi="Times New Roman" w:cs="Times New Roman"/>
        </w:rPr>
        <w:t xml:space="preserve">ent être prises au titre d’autres paragraphes de l’article XX et d’autres articles de l’Accord général à l’égard de </w:t>
      </w:r>
      <w:r w:rsidR="00624F4C" w:rsidRPr="00BD0438">
        <w:rPr>
          <w:rFonts w:ascii="Times New Roman" w:hAnsi="Times New Roman" w:cs="Times New Roman"/>
          <w:i/>
        </w:rPr>
        <w:t>« choses situées ou d'actions intervenant hors du territoire relevant de la compétence de la partie qui prenait la mesure »</w:t>
      </w:r>
      <w:r w:rsidR="00624F4C">
        <w:rPr>
          <w:rStyle w:val="Marquenotebasdepage"/>
          <w:rFonts w:ascii="Times New Roman" w:hAnsi="Times New Roman" w:cs="Times New Roman"/>
        </w:rPr>
        <w:footnoteReference w:id="470"/>
      </w:r>
      <w:r w:rsidR="00624F4C">
        <w:rPr>
          <w:rFonts w:ascii="Times New Roman" w:hAnsi="Times New Roman" w:cs="Times New Roman"/>
        </w:rPr>
        <w:t xml:space="preserve">.  Il en </w:t>
      </w:r>
      <w:r w:rsidR="00BD0438">
        <w:rPr>
          <w:rFonts w:ascii="Times New Roman" w:hAnsi="Times New Roman" w:cs="Times New Roman"/>
        </w:rPr>
        <w:t>a déduit</w:t>
      </w:r>
      <w:r w:rsidR="00624F4C">
        <w:rPr>
          <w:rFonts w:ascii="Times New Roman" w:hAnsi="Times New Roman" w:cs="Times New Roman"/>
        </w:rPr>
        <w:t xml:space="preserve"> que</w:t>
      </w:r>
      <w:r w:rsidR="00624F4C" w:rsidRPr="007809BD">
        <w:rPr>
          <w:rFonts w:ascii="Times New Roman" w:hAnsi="Times New Roman" w:cs="Times New Roman"/>
        </w:rPr>
        <w:t xml:space="preserve"> </w:t>
      </w:r>
      <w:r w:rsidR="00BD0438">
        <w:rPr>
          <w:rFonts w:ascii="Times New Roman" w:hAnsi="Times New Roman" w:cs="Times New Roman"/>
        </w:rPr>
        <w:t>l’Accord général n’interdisait</w:t>
      </w:r>
      <w:r w:rsidR="00624F4C">
        <w:rPr>
          <w:rFonts w:ascii="Times New Roman" w:hAnsi="Times New Roman" w:cs="Times New Roman"/>
        </w:rPr>
        <w:t xml:space="preserve"> pas de manière absolue les mesures qui tend</w:t>
      </w:r>
      <w:r w:rsidR="00BD0438">
        <w:rPr>
          <w:rFonts w:ascii="Times New Roman" w:hAnsi="Times New Roman" w:cs="Times New Roman"/>
        </w:rPr>
        <w:t>ai</w:t>
      </w:r>
      <w:r w:rsidR="00624F4C">
        <w:rPr>
          <w:rFonts w:ascii="Times New Roman" w:hAnsi="Times New Roman" w:cs="Times New Roman"/>
        </w:rPr>
        <w:t xml:space="preserve">ent à </w:t>
      </w:r>
      <w:r w:rsidR="00624F4C" w:rsidRPr="00BD0438">
        <w:rPr>
          <w:rFonts w:ascii="Times New Roman" w:hAnsi="Times New Roman" w:cs="Times New Roman"/>
          <w:i/>
        </w:rPr>
        <w:t>« se rapporter à des choses ou à des actions qui se situent hors du territoire relevant de la compétence de la partie qui prenait la mesure »</w:t>
      </w:r>
      <w:r w:rsidR="00624F4C">
        <w:rPr>
          <w:rStyle w:val="Marquenotebasdepage"/>
          <w:rFonts w:ascii="Times New Roman" w:hAnsi="Times New Roman" w:cs="Times New Roman"/>
        </w:rPr>
        <w:footnoteReference w:id="471"/>
      </w:r>
      <w:r w:rsidR="00624F4C">
        <w:rPr>
          <w:rFonts w:ascii="Times New Roman" w:hAnsi="Times New Roman" w:cs="Times New Roman"/>
        </w:rPr>
        <w:t>.</w:t>
      </w:r>
    </w:p>
    <w:p w14:paraId="52FFA79D" w14:textId="77777777" w:rsidR="00624F4C" w:rsidRDefault="00624F4C" w:rsidP="00624F4C">
      <w:pPr>
        <w:spacing w:line="360" w:lineRule="auto"/>
        <w:jc w:val="both"/>
        <w:rPr>
          <w:rFonts w:ascii="Times New Roman" w:hAnsi="Times New Roman" w:cs="Times New Roman"/>
        </w:rPr>
      </w:pPr>
    </w:p>
    <w:p w14:paraId="34CE2700" w14:textId="2717B497" w:rsidR="00624F4C" w:rsidRPr="007809BD" w:rsidRDefault="00624F4C" w:rsidP="00624F4C">
      <w:pPr>
        <w:widowControl w:val="0"/>
        <w:autoSpaceDE w:val="0"/>
        <w:autoSpaceDN w:val="0"/>
        <w:adjustRightInd w:val="0"/>
        <w:spacing w:after="240" w:line="360" w:lineRule="auto"/>
        <w:jc w:val="both"/>
        <w:rPr>
          <w:rFonts w:ascii="Times New Roman" w:hAnsi="Times New Roman" w:cs="Times New Roman"/>
        </w:rPr>
      </w:pPr>
      <w:r>
        <w:rPr>
          <w:rFonts w:ascii="Times New Roman" w:hAnsi="Times New Roman" w:cs="Times New Roman"/>
        </w:rPr>
        <w:t>Le Groupe spécial a également constaté, en se référant au droit internati</w:t>
      </w:r>
      <w:r w:rsidR="00BD0438">
        <w:rPr>
          <w:rFonts w:ascii="Times New Roman" w:hAnsi="Times New Roman" w:cs="Times New Roman"/>
        </w:rPr>
        <w:t>onal général, que les Etats n’avaien</w:t>
      </w:r>
      <w:r>
        <w:rPr>
          <w:rFonts w:ascii="Times New Roman" w:hAnsi="Times New Roman" w:cs="Times New Roman"/>
        </w:rPr>
        <w:t xml:space="preserve">t pas l’interdiction de réglementer d’une part, </w:t>
      </w:r>
      <w:r w:rsidRPr="00BD0438">
        <w:rPr>
          <w:rFonts w:ascii="Times New Roman" w:hAnsi="Times New Roman" w:cs="Times New Roman"/>
          <w:i/>
        </w:rPr>
        <w:t>« la conduite de leurs ressortissants à l’égard des personnes, animaux, végétaux et ressources naturelles hors de leur territoire »</w:t>
      </w:r>
      <w:r>
        <w:rPr>
          <w:rStyle w:val="Marquenotebasdepage"/>
          <w:rFonts w:ascii="Times New Roman" w:hAnsi="Times New Roman" w:cs="Times New Roman"/>
        </w:rPr>
        <w:footnoteReference w:id="472"/>
      </w:r>
      <w:r>
        <w:rPr>
          <w:rFonts w:ascii="Times New Roman" w:hAnsi="Times New Roman" w:cs="Times New Roman"/>
        </w:rPr>
        <w:t xml:space="preserve">, et d’autre part, </w:t>
      </w:r>
      <w:r w:rsidR="00BD0438" w:rsidRPr="00BD0438">
        <w:rPr>
          <w:rFonts w:ascii="Times New Roman" w:hAnsi="Times New Roman" w:cs="Times New Roman"/>
          <w:i/>
        </w:rPr>
        <w:t>« </w:t>
      </w:r>
      <w:r w:rsidRPr="00BD0438">
        <w:rPr>
          <w:rFonts w:ascii="Times New Roman" w:hAnsi="Times New Roman" w:cs="Times New Roman"/>
          <w:i/>
        </w:rPr>
        <w:t>la conduite des navires battant leur pavillon ou de toute personne présente sur ces navires, à l’égard de personnes, animaux, végétaux, ressources naturelles hors de leur territoire »</w:t>
      </w:r>
      <w:r>
        <w:rPr>
          <w:rStyle w:val="Marquenotebasdepage"/>
          <w:rFonts w:ascii="Times New Roman" w:hAnsi="Times New Roman" w:cs="Times New Roman"/>
        </w:rPr>
        <w:footnoteReference w:id="473"/>
      </w:r>
      <w:r>
        <w:rPr>
          <w:rFonts w:ascii="Times New Roman" w:hAnsi="Times New Roman" w:cs="Times New Roman"/>
        </w:rPr>
        <w:t>. De plus, il a noté qu’ </w:t>
      </w:r>
      <w:r w:rsidRPr="00C818FF">
        <w:rPr>
          <w:rFonts w:ascii="Times New Roman" w:hAnsi="Times New Roman" w:cs="Times New Roman"/>
          <w:i/>
        </w:rPr>
        <w:t>« un Etat peu</w:t>
      </w:r>
      <w:r w:rsidR="00BD0438" w:rsidRPr="00C818FF">
        <w:rPr>
          <w:rFonts w:ascii="Times New Roman" w:hAnsi="Times New Roman" w:cs="Times New Roman"/>
          <w:i/>
        </w:rPr>
        <w:t>t</w:t>
      </w:r>
      <w:r w:rsidRPr="00C818FF">
        <w:rPr>
          <w:rFonts w:ascii="Times New Roman" w:hAnsi="Times New Roman" w:cs="Times New Roman"/>
          <w:i/>
        </w:rPr>
        <w:t xml:space="preserve"> réglementer la conduite de ses pêcheurs ou des navires battant son pavillon ou de tout pêcheur présent à bord de ces navires, à l’égard des poissons situés en haute mer »</w:t>
      </w:r>
      <w:r>
        <w:rPr>
          <w:rStyle w:val="Marquenotebasdepage"/>
          <w:rFonts w:ascii="Times New Roman" w:hAnsi="Times New Roman" w:cs="Times New Roman"/>
        </w:rPr>
        <w:footnoteReference w:id="474"/>
      </w:r>
      <w:r>
        <w:rPr>
          <w:rFonts w:ascii="Times New Roman" w:hAnsi="Times New Roman" w:cs="Times New Roman"/>
        </w:rPr>
        <w:t>.</w:t>
      </w:r>
    </w:p>
    <w:p w14:paraId="63BAF33B" w14:textId="2DAC5711" w:rsidR="00624F4C" w:rsidRDefault="000F4E90" w:rsidP="00624F4C">
      <w:pPr>
        <w:widowControl w:val="0"/>
        <w:autoSpaceDE w:val="0"/>
        <w:autoSpaceDN w:val="0"/>
        <w:adjustRightInd w:val="0"/>
        <w:spacing w:after="240" w:line="360" w:lineRule="auto"/>
        <w:jc w:val="both"/>
        <w:rPr>
          <w:rFonts w:ascii="Times New Roman" w:hAnsi="Times New Roman" w:cs="Times New Roman"/>
        </w:rPr>
      </w:pPr>
      <w:r>
        <w:rPr>
          <w:rFonts w:ascii="Times New Roman" w:hAnsi="Times New Roman" w:cs="Times New Roman"/>
        </w:rPr>
        <w:t>En outre</w:t>
      </w:r>
      <w:r w:rsidR="00BD0438">
        <w:rPr>
          <w:rFonts w:ascii="Times New Roman" w:hAnsi="Times New Roman" w:cs="Times New Roman"/>
        </w:rPr>
        <w:t>, l</w:t>
      </w:r>
      <w:r w:rsidR="00624F4C">
        <w:rPr>
          <w:rFonts w:ascii="Times New Roman" w:hAnsi="Times New Roman" w:cs="Times New Roman"/>
        </w:rPr>
        <w:t xml:space="preserve">e Groupe spécial a estimé que les traités bilatéraux ou plurilatéraux </w:t>
      </w:r>
      <w:r w:rsidR="00BD0438">
        <w:rPr>
          <w:rFonts w:ascii="Times New Roman" w:hAnsi="Times New Roman" w:cs="Times New Roman"/>
        </w:rPr>
        <w:t>concernant  l’environnement ou le</w:t>
      </w:r>
      <w:r w:rsidR="00624F4C">
        <w:rPr>
          <w:rFonts w:ascii="Times New Roman" w:hAnsi="Times New Roman" w:cs="Times New Roman"/>
        </w:rPr>
        <w:t xml:space="preserve"> commerce qui avaient été invoqué</w:t>
      </w:r>
      <w:r>
        <w:rPr>
          <w:rFonts w:ascii="Times New Roman" w:hAnsi="Times New Roman" w:cs="Times New Roman"/>
        </w:rPr>
        <w:t>s par les parties</w:t>
      </w:r>
      <w:r w:rsidR="00624F4C">
        <w:rPr>
          <w:rFonts w:ascii="Times New Roman" w:hAnsi="Times New Roman" w:cs="Times New Roman"/>
        </w:rPr>
        <w:t xml:space="preserve"> ne constituaient pas un moyen fondamental d’interprétation de l’Accord général au sens de la règle générale d’interprétation de l’article 31 de la Convention de Vienne</w:t>
      </w:r>
      <w:r w:rsidR="00624F4C">
        <w:rPr>
          <w:rStyle w:val="Marquenotebasdepage"/>
          <w:rFonts w:ascii="Times New Roman" w:hAnsi="Times New Roman" w:cs="Times New Roman"/>
        </w:rPr>
        <w:footnoteReference w:id="475"/>
      </w:r>
      <w:r w:rsidR="00624F4C">
        <w:rPr>
          <w:rFonts w:ascii="Times New Roman" w:hAnsi="Times New Roman" w:cs="Times New Roman"/>
        </w:rPr>
        <w:t xml:space="preserve">. </w:t>
      </w:r>
      <w:r w:rsidR="00BD0438">
        <w:rPr>
          <w:rFonts w:ascii="Times New Roman" w:hAnsi="Times New Roman" w:cs="Times New Roman"/>
        </w:rPr>
        <w:t xml:space="preserve">En effet, d’une part, </w:t>
      </w:r>
      <w:r w:rsidR="00624F4C">
        <w:rPr>
          <w:rFonts w:ascii="Times New Roman" w:hAnsi="Times New Roman" w:cs="Times New Roman"/>
        </w:rPr>
        <w:t xml:space="preserve">lesdits </w:t>
      </w:r>
      <w:r>
        <w:rPr>
          <w:rFonts w:ascii="Times New Roman" w:hAnsi="Times New Roman" w:cs="Times New Roman"/>
        </w:rPr>
        <w:t>« </w:t>
      </w:r>
      <w:r w:rsidR="00624F4C">
        <w:rPr>
          <w:rFonts w:ascii="Times New Roman" w:hAnsi="Times New Roman" w:cs="Times New Roman"/>
        </w:rPr>
        <w:t>traités n’avaient pas été conclus entre les parties contrac</w:t>
      </w:r>
      <w:r>
        <w:rPr>
          <w:rFonts w:ascii="Times New Roman" w:hAnsi="Times New Roman" w:cs="Times New Roman"/>
        </w:rPr>
        <w:t xml:space="preserve">tantes à l’Accord général et </w:t>
      </w:r>
      <w:r w:rsidR="00624F4C">
        <w:rPr>
          <w:rFonts w:ascii="Times New Roman" w:hAnsi="Times New Roman" w:cs="Times New Roman"/>
        </w:rPr>
        <w:t xml:space="preserve">ils ne s’appliquaient </w:t>
      </w:r>
      <w:r w:rsidR="00BD0438">
        <w:rPr>
          <w:rFonts w:ascii="Times New Roman" w:hAnsi="Times New Roman" w:cs="Times New Roman"/>
        </w:rPr>
        <w:t>p</w:t>
      </w:r>
      <w:r w:rsidR="00624F4C">
        <w:rPr>
          <w:rFonts w:ascii="Times New Roman" w:hAnsi="Times New Roman" w:cs="Times New Roman"/>
        </w:rPr>
        <w:t>as à l’interprétation de l’Accord général ou à l’application de ses disposi</w:t>
      </w:r>
      <w:r w:rsidR="00BD0438">
        <w:rPr>
          <w:rFonts w:ascii="Times New Roman" w:hAnsi="Times New Roman" w:cs="Times New Roman"/>
        </w:rPr>
        <w:t>tions »</w:t>
      </w:r>
      <w:r>
        <w:rPr>
          <w:rStyle w:val="Marquenotebasdepage"/>
          <w:rFonts w:ascii="Times New Roman" w:hAnsi="Times New Roman" w:cs="Times New Roman"/>
        </w:rPr>
        <w:footnoteReference w:id="476"/>
      </w:r>
      <w:r w:rsidR="00BD0438">
        <w:rPr>
          <w:rFonts w:ascii="Times New Roman" w:hAnsi="Times New Roman" w:cs="Times New Roman"/>
        </w:rPr>
        <w:t>, et d’autre part, qu’étan</w:t>
      </w:r>
      <w:r w:rsidR="00624F4C">
        <w:rPr>
          <w:rFonts w:ascii="Times New Roman" w:hAnsi="Times New Roman" w:cs="Times New Roman"/>
        </w:rPr>
        <w:t>t donné que la pratique dans le cadre desdits traités ne pouvait pas être assimilée à la pratique dans le cadre de l’Accord général, elle ne pouvait dès lors pas avoir une incidence sur l’interprétation de ce dernier</w:t>
      </w:r>
      <w:r w:rsidR="00624F4C">
        <w:rPr>
          <w:rStyle w:val="Marquenotebasdepage"/>
          <w:rFonts w:ascii="Times New Roman" w:hAnsi="Times New Roman" w:cs="Times New Roman"/>
        </w:rPr>
        <w:footnoteReference w:id="477"/>
      </w:r>
      <w:r w:rsidR="00624F4C">
        <w:rPr>
          <w:rFonts w:ascii="Times New Roman" w:hAnsi="Times New Roman" w:cs="Times New Roman"/>
        </w:rPr>
        <w:t>.</w:t>
      </w:r>
    </w:p>
    <w:p w14:paraId="247A63DA" w14:textId="0F393F91" w:rsidR="007513BD" w:rsidRDefault="007513BD" w:rsidP="007513BD">
      <w:pPr>
        <w:widowControl w:val="0"/>
        <w:autoSpaceDE w:val="0"/>
        <w:autoSpaceDN w:val="0"/>
        <w:adjustRightInd w:val="0"/>
        <w:spacing w:after="240" w:line="360" w:lineRule="auto"/>
        <w:jc w:val="both"/>
        <w:rPr>
          <w:rFonts w:ascii="Times New Roman" w:hAnsi="Times New Roman" w:cs="Times New Roman"/>
        </w:rPr>
      </w:pPr>
      <w:r>
        <w:rPr>
          <w:rFonts w:ascii="Times New Roman" w:hAnsi="Times New Roman" w:cs="Times New Roman"/>
        </w:rPr>
        <w:t>En outre, le Groupe spécial a considéré que ces traités ne pouvaient en aucun cas constituer un moyen complémentaire d’interprétation de l’Accord général au titre de l’article 32 de la Convention de Vienne</w:t>
      </w:r>
      <w:r w:rsidR="00931D58">
        <w:rPr>
          <w:rStyle w:val="Marquenotebasdepage"/>
          <w:rFonts w:ascii="Times New Roman" w:hAnsi="Times New Roman" w:cs="Times New Roman"/>
        </w:rPr>
        <w:footnoteReference w:id="478"/>
      </w:r>
      <w:r>
        <w:rPr>
          <w:rFonts w:ascii="Times New Roman" w:hAnsi="Times New Roman" w:cs="Times New Roman"/>
        </w:rPr>
        <w:t xml:space="preserve">. </w:t>
      </w:r>
      <w:r w:rsidR="000F4E90">
        <w:rPr>
          <w:rFonts w:ascii="Times New Roman" w:hAnsi="Times New Roman" w:cs="Times New Roman"/>
        </w:rPr>
        <w:t>Etant donné que l</w:t>
      </w:r>
      <w:r>
        <w:rPr>
          <w:rFonts w:ascii="Times New Roman" w:hAnsi="Times New Roman" w:cs="Times New Roman"/>
        </w:rPr>
        <w:t>’Accord général, le texte de la Havane ainsi que les travaux préparatoires se rapportant à ces instruments ne se référaient pa</w:t>
      </w:r>
      <w:r w:rsidR="000F4E90">
        <w:rPr>
          <w:rFonts w:ascii="Times New Roman" w:hAnsi="Times New Roman" w:cs="Times New Roman"/>
        </w:rPr>
        <w:t>s directement aux traités cités</w:t>
      </w:r>
      <w:r>
        <w:rPr>
          <w:rFonts w:ascii="Times New Roman" w:hAnsi="Times New Roman" w:cs="Times New Roman"/>
        </w:rPr>
        <w:t xml:space="preserve"> qui avaient été conclus avant l’Accord général, ces derniers </w:t>
      </w:r>
      <w:r w:rsidR="000F4E90">
        <w:rPr>
          <w:rFonts w:ascii="Times New Roman" w:hAnsi="Times New Roman" w:cs="Times New Roman"/>
        </w:rPr>
        <w:t xml:space="preserve">étaient </w:t>
      </w:r>
      <w:r>
        <w:rPr>
          <w:rFonts w:ascii="Times New Roman" w:hAnsi="Times New Roman" w:cs="Times New Roman"/>
        </w:rPr>
        <w:t xml:space="preserve">inutiles pour l’interprétation de l’article XX </w:t>
      </w:r>
      <w:r w:rsidRPr="00127402">
        <w:rPr>
          <w:rFonts w:ascii="Times New Roman" w:hAnsi="Times New Roman" w:cs="Times New Roman"/>
          <w:i/>
        </w:rPr>
        <w:t>g)</w:t>
      </w:r>
      <w:r w:rsidR="00931D58">
        <w:rPr>
          <w:rStyle w:val="Marquenotebasdepage"/>
          <w:rFonts w:ascii="Times New Roman" w:hAnsi="Times New Roman" w:cs="Times New Roman"/>
          <w:i/>
        </w:rPr>
        <w:footnoteReference w:id="479"/>
      </w:r>
      <w:r>
        <w:rPr>
          <w:rFonts w:ascii="Times New Roman" w:hAnsi="Times New Roman" w:cs="Times New Roman"/>
        </w:rPr>
        <w:t>. Le Groupe spécial a également noté qu’aucun élément issu des déclarations et des modification</w:t>
      </w:r>
      <w:r w:rsidR="00701508">
        <w:rPr>
          <w:rFonts w:ascii="Times New Roman" w:hAnsi="Times New Roman" w:cs="Times New Roman"/>
        </w:rPr>
        <w:t>s</w:t>
      </w:r>
      <w:r>
        <w:rPr>
          <w:rFonts w:ascii="Times New Roman" w:hAnsi="Times New Roman" w:cs="Times New Roman"/>
        </w:rPr>
        <w:t xml:space="preserve"> apportées au texte ne tendait à corroborer les allégations des parties en ce qui concerne la question de l’emplacement de l’organisme vivant à protéger au regard de l’article XX </w:t>
      </w:r>
      <w:r>
        <w:rPr>
          <w:rFonts w:ascii="Times New Roman" w:hAnsi="Times New Roman" w:cs="Times New Roman"/>
          <w:i/>
        </w:rPr>
        <w:t>g</w:t>
      </w:r>
      <w:r w:rsidRPr="001B21C5">
        <w:rPr>
          <w:rFonts w:ascii="Times New Roman" w:hAnsi="Times New Roman" w:cs="Times New Roman"/>
          <w:i/>
        </w:rPr>
        <w:t>)</w:t>
      </w:r>
      <w:r w:rsidR="000F4E90">
        <w:rPr>
          <w:rStyle w:val="Marquenotebasdepage"/>
          <w:rFonts w:ascii="Times New Roman" w:hAnsi="Times New Roman" w:cs="Times New Roman"/>
          <w:i/>
        </w:rPr>
        <w:footnoteReference w:id="480"/>
      </w:r>
      <w:r w:rsidR="00CB10B1">
        <w:rPr>
          <w:rFonts w:ascii="Times New Roman" w:hAnsi="Times New Roman" w:cs="Times New Roman"/>
        </w:rPr>
        <w:t>.</w:t>
      </w:r>
      <w:r>
        <w:rPr>
          <w:rFonts w:ascii="Times New Roman" w:hAnsi="Times New Roman" w:cs="Times New Roman"/>
        </w:rPr>
        <w:t xml:space="preserve"> Eu égard aux constatations qui précèdent, le Groupe spécial a considéré qu’aucun argument ne permettait de conclure que les dispositions de l’article XX </w:t>
      </w:r>
      <w:r w:rsidRPr="00127402">
        <w:rPr>
          <w:rFonts w:ascii="Times New Roman" w:hAnsi="Times New Roman" w:cs="Times New Roman"/>
          <w:i/>
        </w:rPr>
        <w:t>g)</w:t>
      </w:r>
      <w:r>
        <w:rPr>
          <w:rFonts w:ascii="Times New Roman" w:hAnsi="Times New Roman" w:cs="Times New Roman"/>
        </w:rPr>
        <w:t xml:space="preserve"> </w:t>
      </w:r>
      <w:r w:rsidRPr="00127402">
        <w:rPr>
          <w:rFonts w:ascii="Times New Roman" w:hAnsi="Times New Roman" w:cs="Times New Roman"/>
        </w:rPr>
        <w:t xml:space="preserve">ne </w:t>
      </w:r>
      <w:r w:rsidRPr="00127402">
        <w:rPr>
          <w:rFonts w:ascii="Times New Roman" w:hAnsi="Times New Roman" w:cs="Times New Roman"/>
          <w:i/>
        </w:rPr>
        <w:t>« s'appliquaient qu'aux politiques se rapportant à la conservation des ressources naturelles épuisables situées sur le territoire de la partie contractante qui invoquait la disposition »</w:t>
      </w:r>
      <w:r w:rsidR="00931D58">
        <w:rPr>
          <w:rStyle w:val="Marquenotebasdepage"/>
          <w:rFonts w:ascii="Times New Roman" w:hAnsi="Times New Roman" w:cs="Times New Roman"/>
          <w:i/>
        </w:rPr>
        <w:footnoteReference w:id="481"/>
      </w:r>
      <w:r w:rsidRPr="00127402">
        <w:rPr>
          <w:rFonts w:ascii="Times New Roman" w:hAnsi="Times New Roman" w:cs="Times New Roman"/>
        </w:rPr>
        <w:t>.</w:t>
      </w:r>
      <w:r w:rsidR="008C3E7A">
        <w:rPr>
          <w:rFonts w:ascii="Times New Roman" w:hAnsi="Times New Roman" w:cs="Times New Roman"/>
        </w:rPr>
        <w:t xml:space="preserve"> </w:t>
      </w:r>
      <w:r>
        <w:rPr>
          <w:rFonts w:ascii="Times New Roman" w:hAnsi="Times New Roman" w:cs="Times New Roman"/>
        </w:rPr>
        <w:t>Par conséquent, le Groupe spécial a conclu que la politique qui consistait à assurer la protection de la vie et de la santé des dauphins dans la zone tropicale</w:t>
      </w:r>
      <w:r w:rsidR="00CB10B1">
        <w:rPr>
          <w:rFonts w:ascii="Times New Roman" w:hAnsi="Times New Roman" w:cs="Times New Roman"/>
        </w:rPr>
        <w:t xml:space="preserve"> orientale de l’Océan Pacifique </w:t>
      </w:r>
      <w:r w:rsidRPr="00162442">
        <w:rPr>
          <w:rFonts w:ascii="Times New Roman" w:hAnsi="Times New Roman" w:cs="Times New Roman"/>
          <w:i/>
        </w:rPr>
        <w:t>« que les États-Unis appliquaient dans leur sphère de compétence à leurs ressortissants et à leurs navires, entrait dans la catégorie des poli</w:t>
      </w:r>
      <w:r>
        <w:rPr>
          <w:rFonts w:ascii="Times New Roman" w:hAnsi="Times New Roman" w:cs="Times New Roman"/>
          <w:i/>
        </w:rPr>
        <w:t>tiques visées par l'article XX g</w:t>
      </w:r>
      <w:r w:rsidRPr="00162442">
        <w:rPr>
          <w:rFonts w:ascii="Times New Roman" w:hAnsi="Times New Roman" w:cs="Times New Roman"/>
          <w:i/>
        </w:rPr>
        <w:t>) »</w:t>
      </w:r>
      <w:r w:rsidRPr="008527B4">
        <w:rPr>
          <w:rStyle w:val="Marquenotebasdepage"/>
          <w:rFonts w:ascii="Times New Roman" w:hAnsi="Times New Roman" w:cs="Times New Roman"/>
        </w:rPr>
        <w:footnoteReference w:id="482"/>
      </w:r>
      <w:r>
        <w:rPr>
          <w:rFonts w:ascii="Times New Roman" w:hAnsi="Times New Roman" w:cs="Times New Roman"/>
        </w:rPr>
        <w:t>.</w:t>
      </w:r>
    </w:p>
    <w:p w14:paraId="744FE908" w14:textId="77777777" w:rsidR="00624F4C" w:rsidRPr="001845CF" w:rsidRDefault="00624F4C" w:rsidP="00624F4C">
      <w:pPr>
        <w:spacing w:line="360" w:lineRule="auto"/>
        <w:jc w:val="both"/>
        <w:rPr>
          <w:rFonts w:ascii="Times New Roman" w:hAnsi="Times New Roman" w:cs="Times New Roman"/>
          <w:b/>
        </w:rPr>
      </w:pPr>
      <w:r w:rsidRPr="001845CF">
        <w:rPr>
          <w:rFonts w:ascii="Times New Roman" w:hAnsi="Times New Roman" w:cs="Times New Roman"/>
          <w:b/>
        </w:rPr>
        <w:t xml:space="preserve">2. Concept « se rapportant à » et application de l’article XX </w:t>
      </w:r>
      <w:r w:rsidRPr="00624F4C">
        <w:rPr>
          <w:rFonts w:ascii="Times New Roman" w:hAnsi="Times New Roman" w:cs="Times New Roman"/>
          <w:b/>
          <w:i/>
        </w:rPr>
        <w:t>g)</w:t>
      </w:r>
      <w:r w:rsidRPr="001845CF">
        <w:rPr>
          <w:rFonts w:ascii="Times New Roman" w:hAnsi="Times New Roman" w:cs="Times New Roman"/>
          <w:b/>
        </w:rPr>
        <w:t xml:space="preserve"> hors de la sphère de compétence du pays</w:t>
      </w:r>
    </w:p>
    <w:p w14:paraId="38ABCCF2" w14:textId="6943A6B5" w:rsidR="00624F4C" w:rsidRDefault="00624F4C" w:rsidP="00624F4C">
      <w:pPr>
        <w:spacing w:line="360" w:lineRule="auto"/>
        <w:jc w:val="both"/>
        <w:rPr>
          <w:rFonts w:ascii="Times New Roman" w:hAnsi="Times New Roman" w:cs="Times New Roman"/>
        </w:rPr>
      </w:pPr>
      <w:r>
        <w:rPr>
          <w:rFonts w:ascii="Times New Roman" w:hAnsi="Times New Roman" w:cs="Times New Roman"/>
        </w:rPr>
        <w:t xml:space="preserve">Dans l’affaire </w:t>
      </w:r>
      <w:r w:rsidRPr="002C00EA">
        <w:rPr>
          <w:rFonts w:ascii="Times New Roman" w:hAnsi="Times New Roman" w:cs="Times New Roman"/>
          <w:i/>
        </w:rPr>
        <w:t>Thon I</w:t>
      </w:r>
      <w:r>
        <w:rPr>
          <w:rFonts w:ascii="Times New Roman" w:hAnsi="Times New Roman" w:cs="Times New Roman"/>
        </w:rPr>
        <w:t xml:space="preserve">, le Groupe spécial a considéré que l’article XX </w:t>
      </w:r>
      <w:r w:rsidRPr="00624F4C">
        <w:rPr>
          <w:rFonts w:ascii="Times New Roman" w:hAnsi="Times New Roman" w:cs="Times New Roman"/>
          <w:i/>
        </w:rPr>
        <w:t>g)</w:t>
      </w:r>
      <w:r>
        <w:rPr>
          <w:rFonts w:ascii="Times New Roman" w:hAnsi="Times New Roman" w:cs="Times New Roman"/>
        </w:rPr>
        <w:t xml:space="preserve"> ne pouvait pas s’appliquer hors de la sphère de compétence du pays. En guise d’explications, il a mentionné les mêmes raisons que celles qu’il avait avancées pour l’article XX </w:t>
      </w:r>
      <w:r w:rsidRPr="00624F4C">
        <w:rPr>
          <w:rFonts w:ascii="Times New Roman" w:hAnsi="Times New Roman" w:cs="Times New Roman"/>
          <w:i/>
        </w:rPr>
        <w:t>b)</w:t>
      </w:r>
      <w:r w:rsidR="00A30F4E">
        <w:rPr>
          <w:rStyle w:val="Marquenotebasdepage"/>
          <w:rFonts w:ascii="Times New Roman" w:hAnsi="Times New Roman" w:cs="Times New Roman"/>
          <w:i/>
        </w:rPr>
        <w:footnoteReference w:id="483"/>
      </w:r>
      <w:r>
        <w:rPr>
          <w:rFonts w:ascii="Times New Roman" w:hAnsi="Times New Roman" w:cs="Times New Roman"/>
        </w:rPr>
        <w:t>.</w:t>
      </w:r>
    </w:p>
    <w:p w14:paraId="31E22F44" w14:textId="77777777" w:rsidR="00624F4C" w:rsidRDefault="00624F4C" w:rsidP="00624F4C">
      <w:pPr>
        <w:spacing w:line="360" w:lineRule="auto"/>
        <w:jc w:val="both"/>
        <w:rPr>
          <w:rFonts w:ascii="Times New Roman" w:hAnsi="Times New Roman" w:cs="Times New Roman"/>
        </w:rPr>
      </w:pPr>
    </w:p>
    <w:p w14:paraId="6AEF0073" w14:textId="6877E33B" w:rsidR="002258BC" w:rsidRPr="00073B6C" w:rsidRDefault="00624F4C" w:rsidP="00624F4C">
      <w:pPr>
        <w:widowControl w:val="0"/>
        <w:autoSpaceDE w:val="0"/>
        <w:autoSpaceDN w:val="0"/>
        <w:adjustRightInd w:val="0"/>
        <w:spacing w:after="240" w:line="360" w:lineRule="auto"/>
        <w:jc w:val="both"/>
        <w:rPr>
          <w:rFonts w:ascii="Times New Roman" w:hAnsi="Times New Roman" w:cs="Times New Roman"/>
        </w:rPr>
      </w:pPr>
      <w:r w:rsidRPr="0072573C">
        <w:rPr>
          <w:rFonts w:ascii="Times New Roman" w:hAnsi="Times New Roman" w:cs="Times New Roman"/>
        </w:rPr>
        <w:t xml:space="preserve">Dans l’affaire </w:t>
      </w:r>
      <w:r w:rsidRPr="0072573C">
        <w:rPr>
          <w:rFonts w:ascii="Times New Roman" w:hAnsi="Times New Roman" w:cs="Times New Roman"/>
          <w:i/>
        </w:rPr>
        <w:t>Thon II</w:t>
      </w:r>
      <w:r w:rsidRPr="0072573C">
        <w:rPr>
          <w:rFonts w:ascii="Times New Roman" w:hAnsi="Times New Roman" w:cs="Times New Roman"/>
        </w:rPr>
        <w:t>, le Groupe spécial s’est penché sur la question d</w:t>
      </w:r>
      <w:r w:rsidR="00CB10B1">
        <w:rPr>
          <w:rFonts w:ascii="Times New Roman" w:hAnsi="Times New Roman" w:cs="Times New Roman"/>
        </w:rPr>
        <w:t>e savoir si les embargos imposé</w:t>
      </w:r>
      <w:r w:rsidRPr="0072573C">
        <w:rPr>
          <w:rFonts w:ascii="Times New Roman" w:hAnsi="Times New Roman" w:cs="Times New Roman"/>
        </w:rPr>
        <w:t>s par les Etats-Unis étaient considérés comme « visant principalement à conserver une ressource naturelle épuisable » et « à donner effet à des restrictions à la production et à la consommation nationales »</w:t>
      </w:r>
      <w:r w:rsidRPr="0072573C">
        <w:rPr>
          <w:rStyle w:val="Marquenotebasdepage"/>
          <w:rFonts w:ascii="Times New Roman" w:hAnsi="Times New Roman" w:cs="Times New Roman"/>
        </w:rPr>
        <w:footnoteReference w:id="484"/>
      </w:r>
      <w:r w:rsidRPr="0072573C">
        <w:rPr>
          <w:rFonts w:ascii="Times New Roman" w:hAnsi="Times New Roman" w:cs="Times New Roman"/>
        </w:rPr>
        <w:t>. Le Groupe spécial s’est penché sur la relation entre les mesures amé</w:t>
      </w:r>
      <w:r w:rsidR="00854A80">
        <w:rPr>
          <w:rFonts w:ascii="Times New Roman" w:hAnsi="Times New Roman" w:cs="Times New Roman"/>
        </w:rPr>
        <w:t xml:space="preserve">ricaines et l’objectif déclaré </w:t>
      </w:r>
      <w:r w:rsidR="00CB10B1" w:rsidRPr="00073B6C">
        <w:rPr>
          <w:rFonts w:ascii="Times New Roman" w:hAnsi="Times New Roman" w:cs="Times New Roman"/>
        </w:rPr>
        <w:t>par les Etats-Unis</w:t>
      </w:r>
      <w:r w:rsidR="00701508" w:rsidRPr="00073B6C">
        <w:rPr>
          <w:rFonts w:ascii="Times New Roman" w:hAnsi="Times New Roman" w:cs="Times New Roman"/>
        </w:rPr>
        <w:t>,</w:t>
      </w:r>
      <w:r w:rsidR="00CB10B1" w:rsidRPr="00073B6C">
        <w:rPr>
          <w:rFonts w:ascii="Times New Roman" w:hAnsi="Times New Roman" w:cs="Times New Roman"/>
        </w:rPr>
        <w:t xml:space="preserve"> </w:t>
      </w:r>
      <w:r w:rsidRPr="00073B6C">
        <w:rPr>
          <w:rFonts w:ascii="Times New Roman" w:hAnsi="Times New Roman" w:cs="Times New Roman"/>
        </w:rPr>
        <w:t>à savoir</w:t>
      </w:r>
      <w:r w:rsidRPr="0072573C">
        <w:rPr>
          <w:rFonts w:ascii="Times New Roman" w:hAnsi="Times New Roman" w:cs="Times New Roman"/>
        </w:rPr>
        <w:t xml:space="preserve"> la conservation des dauphins</w:t>
      </w:r>
      <w:r w:rsidR="00931D58">
        <w:rPr>
          <w:rStyle w:val="Marquenotebasdepage"/>
          <w:rFonts w:ascii="Times New Roman" w:hAnsi="Times New Roman" w:cs="Times New Roman"/>
        </w:rPr>
        <w:footnoteReference w:id="485"/>
      </w:r>
      <w:r w:rsidRPr="0072573C">
        <w:rPr>
          <w:rFonts w:ascii="Times New Roman" w:hAnsi="Times New Roman" w:cs="Times New Roman"/>
        </w:rPr>
        <w:t xml:space="preserve">. Il a considéré que tant l’embargo de la nation intermédiaire que celui de la nation première ne pouvaient pas permettre à eux seuls la conservation des dauphins. Ainsi, afin qu’ils puissent atteindre leurs objectifs en matière de conservation, ils </w:t>
      </w:r>
      <w:r w:rsidRPr="00073B6C">
        <w:rPr>
          <w:rFonts w:ascii="Times New Roman" w:hAnsi="Times New Roman" w:cs="Times New Roman"/>
        </w:rPr>
        <w:t>devaient être suivis de modifications des politiques ou des méthodes dans d’autres pays</w:t>
      </w:r>
      <w:r w:rsidR="00931D58" w:rsidRPr="00073B6C">
        <w:rPr>
          <w:rStyle w:val="Marquenotebasdepage"/>
          <w:rFonts w:ascii="Times New Roman" w:hAnsi="Times New Roman" w:cs="Times New Roman"/>
        </w:rPr>
        <w:footnoteReference w:id="486"/>
      </w:r>
      <w:r w:rsidRPr="00073B6C">
        <w:rPr>
          <w:rFonts w:ascii="Times New Roman" w:hAnsi="Times New Roman" w:cs="Times New Roman"/>
        </w:rPr>
        <w:t xml:space="preserve">. </w:t>
      </w:r>
    </w:p>
    <w:p w14:paraId="4D3C04E4" w14:textId="7A71F31F" w:rsidR="00624F4C" w:rsidRPr="00073B6C" w:rsidRDefault="00CB10B1" w:rsidP="00624F4C">
      <w:pPr>
        <w:widowControl w:val="0"/>
        <w:autoSpaceDE w:val="0"/>
        <w:autoSpaceDN w:val="0"/>
        <w:adjustRightInd w:val="0"/>
        <w:spacing w:after="240" w:line="360" w:lineRule="auto"/>
        <w:jc w:val="both"/>
        <w:rPr>
          <w:rFonts w:ascii="Times New Roman" w:hAnsi="Times New Roman" w:cs="Times New Roman"/>
        </w:rPr>
      </w:pPr>
      <w:r w:rsidRPr="00073B6C">
        <w:rPr>
          <w:rFonts w:ascii="Times New Roman" w:hAnsi="Times New Roman" w:cs="Times New Roman"/>
        </w:rPr>
        <w:t>L</w:t>
      </w:r>
      <w:r w:rsidR="00624F4C" w:rsidRPr="00073B6C">
        <w:rPr>
          <w:rFonts w:ascii="Times New Roman" w:hAnsi="Times New Roman" w:cs="Times New Roman"/>
        </w:rPr>
        <w:t>e</w:t>
      </w:r>
      <w:r w:rsidR="00624F4C" w:rsidRPr="0072573C">
        <w:rPr>
          <w:rFonts w:ascii="Times New Roman" w:hAnsi="Times New Roman" w:cs="Times New Roman"/>
        </w:rPr>
        <w:t xml:space="preserve"> Groupe spécial a noté que les embargos se devaient d’être imposés </w:t>
      </w:r>
      <w:r w:rsidR="002258BC">
        <w:rPr>
          <w:rFonts w:ascii="Times New Roman" w:hAnsi="Times New Roman" w:cs="Times New Roman"/>
        </w:rPr>
        <w:t xml:space="preserve">afin de </w:t>
      </w:r>
      <w:r w:rsidR="002258BC" w:rsidRPr="002258BC">
        <w:rPr>
          <w:rFonts w:ascii="Times New Roman" w:hAnsi="Times New Roman" w:cs="Times New Roman"/>
          <w:i/>
        </w:rPr>
        <w:t>« </w:t>
      </w:r>
      <w:r w:rsidR="00624F4C" w:rsidRPr="002258BC">
        <w:rPr>
          <w:rFonts w:ascii="Times New Roman" w:hAnsi="Times New Roman" w:cs="Times New Roman"/>
          <w:i/>
        </w:rPr>
        <w:t>contraindre d'autres pays à modifier leurs politiques à l'égard de personnes et de choses relevant de leur propre compétence, puisque ces modifications étaient nécessaires pour que les embargos aient un effet quelconque sur la conservation des dauphins »</w:t>
      </w:r>
      <w:r w:rsidR="00624F4C" w:rsidRPr="0072573C">
        <w:rPr>
          <w:rStyle w:val="Marquenotebasdepage"/>
          <w:rFonts w:ascii="Times New Roman" w:hAnsi="Times New Roman" w:cs="Times New Roman"/>
        </w:rPr>
        <w:footnoteReference w:id="487"/>
      </w:r>
      <w:r w:rsidR="00624F4C" w:rsidRPr="0072573C">
        <w:rPr>
          <w:rFonts w:ascii="Times New Roman" w:hAnsi="Times New Roman" w:cs="Times New Roman"/>
        </w:rPr>
        <w:t xml:space="preserve">. Ensuite, le Groupe spécial a constaté que l’article XX </w:t>
      </w:r>
      <w:r w:rsidR="00624F4C" w:rsidRPr="002258BC">
        <w:rPr>
          <w:rFonts w:ascii="Times New Roman" w:hAnsi="Times New Roman" w:cs="Times New Roman"/>
          <w:i/>
        </w:rPr>
        <w:t xml:space="preserve">g) </w:t>
      </w:r>
      <w:r w:rsidR="00624F4C" w:rsidRPr="0072573C">
        <w:rPr>
          <w:rFonts w:ascii="Times New Roman" w:hAnsi="Times New Roman" w:cs="Times New Roman"/>
        </w:rPr>
        <w:t>ne permettait pas de perce</w:t>
      </w:r>
      <w:r w:rsidR="002258BC">
        <w:rPr>
          <w:rFonts w:ascii="Times New Roman" w:hAnsi="Times New Roman" w:cs="Times New Roman"/>
        </w:rPr>
        <w:t xml:space="preserve">voir clairement : </w:t>
      </w:r>
      <w:r w:rsidR="002258BC" w:rsidRPr="002258BC">
        <w:rPr>
          <w:rFonts w:ascii="Times New Roman" w:hAnsi="Times New Roman" w:cs="Times New Roman"/>
          <w:i/>
        </w:rPr>
        <w:t>« </w:t>
      </w:r>
      <w:r w:rsidR="00624F4C" w:rsidRPr="002258BC">
        <w:rPr>
          <w:rFonts w:ascii="Times New Roman" w:hAnsi="Times New Roman" w:cs="Times New Roman"/>
          <w:i/>
        </w:rPr>
        <w:t xml:space="preserve">les mesures visant principalement à la conservation des ressources naturelles épuisables, ou visant principalement à donner effet aux restrictions nationales à la production ou à la consommation, pouvaient inclure des mesures prises de manière à contraindre d'autres pays à modifier leurs politiques à l'égard de personnes ou de choses relevant de leur propre sphère de compétence, </w:t>
      </w:r>
      <w:r w:rsidR="00624F4C" w:rsidRPr="00073B6C">
        <w:rPr>
          <w:rFonts w:ascii="Times New Roman" w:hAnsi="Times New Roman" w:cs="Times New Roman"/>
          <w:i/>
        </w:rPr>
        <w:t>et n'ayant de l'effet que si de telles modifications étaient effectuées</w:t>
      </w:r>
      <w:r w:rsidR="002258BC" w:rsidRPr="00073B6C">
        <w:rPr>
          <w:rFonts w:ascii="Times New Roman" w:hAnsi="Times New Roman" w:cs="Times New Roman"/>
          <w:i/>
        </w:rPr>
        <w:t> »</w:t>
      </w:r>
      <w:r w:rsidR="00624F4C" w:rsidRPr="00073B6C">
        <w:rPr>
          <w:rStyle w:val="Marquenotebasdepage"/>
          <w:rFonts w:ascii="Times New Roman" w:hAnsi="Times New Roman" w:cs="Times New Roman"/>
        </w:rPr>
        <w:footnoteReference w:id="488"/>
      </w:r>
      <w:r w:rsidR="00624F4C" w:rsidRPr="00073B6C">
        <w:rPr>
          <w:rFonts w:ascii="Times New Roman" w:hAnsi="Times New Roman" w:cs="Times New Roman"/>
        </w:rPr>
        <w:t>.</w:t>
      </w:r>
    </w:p>
    <w:p w14:paraId="411C203A" w14:textId="7DA19EF2" w:rsidR="00510A26" w:rsidRDefault="00624F4C" w:rsidP="00510A26">
      <w:pPr>
        <w:widowControl w:val="0"/>
        <w:autoSpaceDE w:val="0"/>
        <w:autoSpaceDN w:val="0"/>
        <w:adjustRightInd w:val="0"/>
        <w:spacing w:after="240" w:line="360" w:lineRule="auto"/>
        <w:jc w:val="both"/>
        <w:rPr>
          <w:rFonts w:ascii="Times New Roman" w:hAnsi="Times New Roman" w:cs="Times New Roman"/>
        </w:rPr>
      </w:pPr>
      <w:r w:rsidRPr="00073B6C">
        <w:rPr>
          <w:rFonts w:ascii="Times New Roman" w:hAnsi="Times New Roman" w:cs="Times New Roman"/>
        </w:rPr>
        <w:t xml:space="preserve">Le Groupe spécial a examiné </w:t>
      </w:r>
      <w:r w:rsidR="00CB10B1" w:rsidRPr="00073B6C">
        <w:rPr>
          <w:rFonts w:ascii="Times New Roman" w:hAnsi="Times New Roman" w:cs="Times New Roman"/>
        </w:rPr>
        <w:t>l</w:t>
      </w:r>
      <w:r w:rsidRPr="00073B6C">
        <w:rPr>
          <w:rFonts w:ascii="Times New Roman" w:hAnsi="Times New Roman" w:cs="Times New Roman"/>
        </w:rPr>
        <w:t>’article</w:t>
      </w:r>
      <w:r>
        <w:rPr>
          <w:rFonts w:ascii="Times New Roman" w:hAnsi="Times New Roman" w:cs="Times New Roman"/>
        </w:rPr>
        <w:t xml:space="preserve"> XX </w:t>
      </w:r>
      <w:r w:rsidRPr="00931D58">
        <w:rPr>
          <w:rFonts w:ascii="Times New Roman" w:hAnsi="Times New Roman" w:cs="Times New Roman"/>
          <w:i/>
        </w:rPr>
        <w:t>g)</w:t>
      </w:r>
      <w:r>
        <w:rPr>
          <w:rFonts w:ascii="Times New Roman" w:hAnsi="Times New Roman" w:cs="Times New Roman"/>
        </w:rPr>
        <w:t xml:space="preserve"> à la lumière de l’objet et de l</w:t>
      </w:r>
      <w:r w:rsidR="00510A26">
        <w:rPr>
          <w:rFonts w:ascii="Times New Roman" w:hAnsi="Times New Roman" w:cs="Times New Roman"/>
        </w:rPr>
        <w:t>a finalité de l’Accord général et est arrivé à la conclusion explicitée ci-après</w:t>
      </w:r>
      <w:r w:rsidR="00CB10B1">
        <w:rPr>
          <w:rStyle w:val="Marquenotebasdepage"/>
          <w:rFonts w:ascii="Times New Roman" w:hAnsi="Times New Roman" w:cs="Times New Roman"/>
        </w:rPr>
        <w:footnoteReference w:id="489"/>
      </w:r>
      <w:r w:rsidR="00510A26">
        <w:rPr>
          <w:rFonts w:ascii="Times New Roman" w:hAnsi="Times New Roman" w:cs="Times New Roman"/>
        </w:rPr>
        <w:t>. Dans l’hypothèse où l’interprétation de l’article XX permettrait d’autoriser les parties contractantes à prendre des mesures commerciales afin de contraindre d’autres parties contractantes à modifier leurs politiques et ce, dans leur propre sphère de compétence, y compris des politiques de conservation, alors l’équilibre des droits et obligations entre les parties contractantes, en particulier le droit d’accès aux marchés, serait gravement compromis. Si une telle interprétation était retenue, l’Accord général ne pourrait plus servir de cadre multilatéral pour le commerce entre les parties contractantes</w:t>
      </w:r>
      <w:r w:rsidR="00931D58">
        <w:rPr>
          <w:rStyle w:val="Marquenotebasdepage"/>
          <w:rFonts w:ascii="Times New Roman" w:hAnsi="Times New Roman" w:cs="Times New Roman"/>
        </w:rPr>
        <w:footnoteReference w:id="490"/>
      </w:r>
      <w:r w:rsidR="00510A26">
        <w:rPr>
          <w:rFonts w:ascii="Times New Roman" w:hAnsi="Times New Roman" w:cs="Times New Roman"/>
        </w:rPr>
        <w:t>.</w:t>
      </w:r>
    </w:p>
    <w:p w14:paraId="6F0D254A" w14:textId="2440CB25" w:rsidR="00510A26" w:rsidRDefault="00510A26" w:rsidP="00510A26">
      <w:pPr>
        <w:widowControl w:val="0"/>
        <w:autoSpaceDE w:val="0"/>
        <w:autoSpaceDN w:val="0"/>
        <w:adjustRightInd w:val="0"/>
        <w:spacing w:after="240" w:line="360" w:lineRule="auto"/>
        <w:jc w:val="both"/>
        <w:rPr>
          <w:rFonts w:ascii="Times New Roman" w:hAnsi="Times New Roman" w:cs="Times New Roman"/>
        </w:rPr>
      </w:pPr>
      <w:r>
        <w:rPr>
          <w:rFonts w:ascii="Times New Roman" w:hAnsi="Times New Roman" w:cs="Times New Roman"/>
        </w:rPr>
        <w:t>Le Groupe spécial a considéré que les mesures prises afin de contraindre d’autres pays à modifier leurs politiques,</w:t>
      </w:r>
      <w:r w:rsidRPr="005E1ABF">
        <w:rPr>
          <w:rFonts w:ascii="Times New Roman" w:hAnsi="Times New Roman" w:cs="Times New Roman"/>
        </w:rPr>
        <w:t xml:space="preserve"> </w:t>
      </w:r>
      <w:r w:rsidRPr="00533978">
        <w:rPr>
          <w:rFonts w:ascii="Times New Roman" w:hAnsi="Times New Roman" w:cs="Times New Roman"/>
        </w:rPr>
        <w:t>et n'ayant de l'effet que si de telles modifications étaient effectuées</w:t>
      </w:r>
      <w:r>
        <w:rPr>
          <w:rFonts w:ascii="Times New Roman" w:hAnsi="Times New Roman" w:cs="Times New Roman"/>
        </w:rPr>
        <w:t xml:space="preserve">, ne pouvaient pas, d’une part, viser principalement à la conservation d’une ressource naturelle épuisable, et d’autre part, donner effet aux restrictions à la production </w:t>
      </w:r>
      <w:r w:rsidR="00CB10B1">
        <w:rPr>
          <w:rFonts w:ascii="Times New Roman" w:hAnsi="Times New Roman" w:cs="Times New Roman"/>
        </w:rPr>
        <w:t>ou à la consommation nationales</w:t>
      </w:r>
      <w:r>
        <w:rPr>
          <w:rFonts w:ascii="Times New Roman" w:hAnsi="Times New Roman" w:cs="Times New Roman"/>
        </w:rPr>
        <w:t xml:space="preserve"> au titre de l’article XX </w:t>
      </w:r>
      <w:r w:rsidRPr="007F359B">
        <w:rPr>
          <w:rFonts w:ascii="Times New Roman" w:hAnsi="Times New Roman" w:cs="Times New Roman"/>
          <w:i/>
        </w:rPr>
        <w:t>g)</w:t>
      </w:r>
      <w:r>
        <w:rPr>
          <w:rStyle w:val="Marquenotebasdepage"/>
          <w:rFonts w:ascii="Times New Roman" w:hAnsi="Times New Roman" w:cs="Times New Roman"/>
        </w:rPr>
        <w:footnoteReference w:id="491"/>
      </w:r>
      <w:r>
        <w:rPr>
          <w:rFonts w:ascii="Times New Roman" w:hAnsi="Times New Roman" w:cs="Times New Roman"/>
        </w:rPr>
        <w:t>.</w:t>
      </w:r>
    </w:p>
    <w:p w14:paraId="558046F3" w14:textId="77777777" w:rsidR="00ED4DAC" w:rsidRDefault="00ED4DAC" w:rsidP="00ED4DAC"/>
    <w:p w14:paraId="4D61E90E" w14:textId="56D819FA" w:rsidR="00126F69" w:rsidRPr="00E41A2D" w:rsidRDefault="00E41A2D" w:rsidP="00126F69">
      <w:pPr>
        <w:spacing w:line="360" w:lineRule="auto"/>
        <w:jc w:val="both"/>
        <w:rPr>
          <w:rFonts w:ascii="Times New Roman" w:hAnsi="Times New Roman" w:cs="Times New Roman"/>
          <w:smallCaps/>
          <w:u w:val="single"/>
        </w:rPr>
      </w:pPr>
      <w:r w:rsidRPr="00E41A2D">
        <w:rPr>
          <w:rFonts w:ascii="Times New Roman" w:hAnsi="Times New Roman" w:cs="Times New Roman"/>
          <w:smallCaps/>
          <w:u w:val="single"/>
        </w:rPr>
        <w:t xml:space="preserve">III. </w:t>
      </w:r>
      <w:r w:rsidR="00126F69" w:rsidRPr="00E41A2D">
        <w:rPr>
          <w:rFonts w:ascii="Times New Roman" w:hAnsi="Times New Roman" w:cs="Times New Roman"/>
          <w:smallCaps/>
          <w:u w:val="single"/>
        </w:rPr>
        <w:t xml:space="preserve">L’affaire </w:t>
      </w:r>
      <w:r w:rsidR="00126F69" w:rsidRPr="00E41A2D">
        <w:rPr>
          <w:rFonts w:ascii="Times New Roman" w:hAnsi="Times New Roman" w:cs="Times New Roman"/>
          <w:i/>
          <w:smallCaps/>
          <w:u w:val="single"/>
        </w:rPr>
        <w:t>CE - Mesures concernant les viandes et les produits carnés</w:t>
      </w:r>
      <w:r w:rsidR="00126F69" w:rsidRPr="00E41A2D">
        <w:rPr>
          <w:rFonts w:ascii="Times New Roman" w:hAnsi="Times New Roman" w:cs="Times New Roman"/>
          <w:smallCaps/>
          <w:u w:val="single"/>
        </w:rPr>
        <w:t xml:space="preserve"> – Le principe de précaution, une reconnaissance mitigée  </w:t>
      </w:r>
    </w:p>
    <w:p w14:paraId="0ABCA1C5" w14:textId="4441BB18" w:rsidR="00126F69" w:rsidRDefault="00126F69" w:rsidP="00126F69">
      <w:pPr>
        <w:spacing w:line="360" w:lineRule="auto"/>
        <w:jc w:val="both"/>
        <w:rPr>
          <w:rFonts w:ascii="Times New Roman" w:hAnsi="Times New Roman" w:cs="Times New Roman"/>
        </w:rPr>
      </w:pPr>
      <w:r>
        <w:rPr>
          <w:rFonts w:ascii="Times New Roman" w:hAnsi="Times New Roman" w:cs="Times New Roman"/>
        </w:rPr>
        <w:t xml:space="preserve">L’affaire </w:t>
      </w:r>
      <w:r w:rsidRPr="006B048E">
        <w:rPr>
          <w:rFonts w:ascii="Times New Roman" w:hAnsi="Times New Roman" w:cs="Times New Roman"/>
          <w:i/>
        </w:rPr>
        <w:t>Communautés européennes</w:t>
      </w:r>
      <w:r>
        <w:rPr>
          <w:rFonts w:ascii="Times New Roman" w:hAnsi="Times New Roman" w:cs="Times New Roman"/>
          <w:i/>
        </w:rPr>
        <w:t xml:space="preserve"> </w:t>
      </w:r>
      <w:r w:rsidRPr="006B048E">
        <w:rPr>
          <w:rFonts w:ascii="Times New Roman" w:hAnsi="Times New Roman" w:cs="Times New Roman"/>
          <w:i/>
        </w:rPr>
        <w:t>-</w:t>
      </w:r>
      <w:r>
        <w:rPr>
          <w:rFonts w:ascii="Times New Roman" w:hAnsi="Times New Roman" w:cs="Times New Roman"/>
          <w:i/>
        </w:rPr>
        <w:t xml:space="preserve"> </w:t>
      </w:r>
      <w:r w:rsidRPr="006B048E">
        <w:rPr>
          <w:rFonts w:ascii="Times New Roman" w:hAnsi="Times New Roman" w:cs="Times New Roman"/>
          <w:i/>
        </w:rPr>
        <w:t>Mesures concernant les viandes et les produits carnés</w:t>
      </w:r>
      <w:r>
        <w:rPr>
          <w:rFonts w:ascii="Times New Roman" w:hAnsi="Times New Roman" w:cs="Times New Roman"/>
        </w:rPr>
        <w:t xml:space="preserve">, plus communément appelée </w:t>
      </w:r>
      <w:r w:rsidRPr="00917E94">
        <w:rPr>
          <w:rFonts w:ascii="Times New Roman" w:hAnsi="Times New Roman" w:cs="Times New Roman"/>
          <w:i/>
        </w:rPr>
        <w:t>affaire Hormones</w:t>
      </w:r>
      <w:r>
        <w:rPr>
          <w:rFonts w:ascii="Times New Roman" w:hAnsi="Times New Roman" w:cs="Times New Roman"/>
        </w:rPr>
        <w:t>, a été portée devant l’OMC à l’initiative des Etats-Unis et du Canada, agissant à l’encontre des Communautés européennes (ci-après nommé « CE ») séparément</w:t>
      </w:r>
      <w:r>
        <w:rPr>
          <w:rStyle w:val="Marquenotebasdepage"/>
          <w:rFonts w:ascii="Times New Roman" w:hAnsi="Times New Roman" w:cs="Times New Roman"/>
        </w:rPr>
        <w:footnoteReference w:id="492"/>
      </w:r>
      <w:r>
        <w:rPr>
          <w:rFonts w:ascii="Times New Roman" w:hAnsi="Times New Roman" w:cs="Times New Roman"/>
        </w:rPr>
        <w:t>. Elle concernait la légalité de l’interdiction prise par les CE d’importer de la viande de bœufs provenant du Canada et des Etats-Unis si celle-ci avait subi un traitement aux hormones de croissance</w:t>
      </w:r>
      <w:r>
        <w:rPr>
          <w:rStyle w:val="Marquenotebasdepage"/>
          <w:rFonts w:ascii="Times New Roman" w:hAnsi="Times New Roman" w:cs="Times New Roman"/>
        </w:rPr>
        <w:footnoteReference w:id="493"/>
      </w:r>
      <w:r>
        <w:rPr>
          <w:rFonts w:ascii="Times New Roman" w:hAnsi="Times New Roman" w:cs="Times New Roman"/>
        </w:rPr>
        <w:t xml:space="preserve">. </w:t>
      </w:r>
      <w:r w:rsidRPr="00276EF2">
        <w:rPr>
          <w:rFonts w:ascii="Times New Roman" w:hAnsi="Times New Roman" w:cs="Times New Roman"/>
        </w:rPr>
        <w:t>Alors que les CE affirmaient que les mesures étaient nécessaires pour protéger la santé publique, les Etats-Unis et le Canada considéraient</w:t>
      </w:r>
      <w:r w:rsidR="00701508">
        <w:rPr>
          <w:rFonts w:ascii="Times New Roman" w:hAnsi="Times New Roman" w:cs="Times New Roman"/>
        </w:rPr>
        <w:t>,</w:t>
      </w:r>
      <w:r w:rsidRPr="00276EF2">
        <w:rPr>
          <w:rFonts w:ascii="Times New Roman" w:hAnsi="Times New Roman" w:cs="Times New Roman"/>
        </w:rPr>
        <w:t xml:space="preserve"> quant à eux</w:t>
      </w:r>
      <w:r w:rsidR="00701508">
        <w:rPr>
          <w:rFonts w:ascii="Times New Roman" w:hAnsi="Times New Roman" w:cs="Times New Roman"/>
        </w:rPr>
        <w:t>,</w:t>
      </w:r>
      <w:r w:rsidRPr="00276EF2">
        <w:rPr>
          <w:rFonts w:ascii="Times New Roman" w:hAnsi="Times New Roman" w:cs="Times New Roman"/>
        </w:rPr>
        <w:t xml:space="preserve"> que l’interdiction frappant les hormones constituait un obstacle déguisé au commerce</w:t>
      </w:r>
      <w:r w:rsidRPr="00276EF2">
        <w:rPr>
          <w:rStyle w:val="Marquenotebasdepage"/>
          <w:rFonts w:ascii="Times New Roman" w:hAnsi="Times New Roman" w:cs="Times New Roman"/>
        </w:rPr>
        <w:footnoteReference w:id="494"/>
      </w:r>
      <w:r w:rsidRPr="00276EF2">
        <w:rPr>
          <w:rFonts w:ascii="Times New Roman" w:hAnsi="Times New Roman" w:cs="Times New Roman"/>
        </w:rPr>
        <w:t xml:space="preserve">. Les CE invoquaient comme principal argument le principe de précaution et considéraient celui-ci comme une </w:t>
      </w:r>
      <w:r w:rsidRPr="00276EF2">
        <w:rPr>
          <w:rFonts w:ascii="Times New Roman" w:hAnsi="Times New Roman" w:cs="Times New Roman"/>
          <w:i/>
        </w:rPr>
        <w:t>« règle coutumière générale ou du moins un principe de droit général»</w:t>
      </w:r>
      <w:r w:rsidRPr="00276EF2">
        <w:rPr>
          <w:rStyle w:val="Marquenotebasdepage"/>
          <w:rFonts w:ascii="Times New Roman" w:hAnsi="Times New Roman" w:cs="Times New Roman"/>
        </w:rPr>
        <w:footnoteReference w:id="495"/>
      </w:r>
      <w:r w:rsidRPr="00276EF2">
        <w:rPr>
          <w:rFonts w:ascii="Times New Roman" w:hAnsi="Times New Roman" w:cs="Times New Roman"/>
        </w:rPr>
        <w:t>. Les Etats-Unis et le Canada soutenaient</w:t>
      </w:r>
      <w:r w:rsidR="00701508">
        <w:rPr>
          <w:rFonts w:ascii="Times New Roman" w:hAnsi="Times New Roman" w:cs="Times New Roman"/>
        </w:rPr>
        <w:t>,</w:t>
      </w:r>
      <w:r w:rsidRPr="00276EF2">
        <w:rPr>
          <w:rFonts w:ascii="Times New Roman" w:hAnsi="Times New Roman" w:cs="Times New Roman"/>
        </w:rPr>
        <w:t xml:space="preserve"> quant à eux</w:t>
      </w:r>
      <w:r w:rsidR="00701508">
        <w:rPr>
          <w:rFonts w:ascii="Times New Roman" w:hAnsi="Times New Roman" w:cs="Times New Roman"/>
        </w:rPr>
        <w:t>,</w:t>
      </w:r>
      <w:r w:rsidRPr="00276EF2">
        <w:rPr>
          <w:rFonts w:ascii="Times New Roman" w:hAnsi="Times New Roman" w:cs="Times New Roman"/>
        </w:rPr>
        <w:t xml:space="preserve"> que les mesures mises en cause n’étaient pas fondées sur une évaluation convenable des risques, qu’elles étaient  maintenues sans preuve scientifique de l’existence de tels risques, ce qui allait à l’encontre de diverses dispositions de l’Accord SPS</w:t>
      </w:r>
      <w:r w:rsidRPr="00276EF2">
        <w:rPr>
          <w:rStyle w:val="Marquenotebasdepage"/>
          <w:rFonts w:ascii="Times New Roman" w:hAnsi="Times New Roman" w:cs="Times New Roman"/>
        </w:rPr>
        <w:footnoteReference w:id="496"/>
      </w:r>
      <w:r w:rsidRPr="00276EF2">
        <w:rPr>
          <w:rFonts w:ascii="Times New Roman" w:hAnsi="Times New Roman" w:cs="Times New Roman"/>
        </w:rPr>
        <w:t>. Alors que les Etats-Unis considéraient le principe de précaution comme une « approche » et non comme une règle de droit international coutumier, le Canada était</w:t>
      </w:r>
      <w:r w:rsidR="00701508">
        <w:rPr>
          <w:rFonts w:ascii="Times New Roman" w:hAnsi="Times New Roman" w:cs="Times New Roman"/>
        </w:rPr>
        <w:t>,</w:t>
      </w:r>
      <w:r w:rsidRPr="00276EF2">
        <w:rPr>
          <w:rFonts w:ascii="Times New Roman" w:hAnsi="Times New Roman" w:cs="Times New Roman"/>
        </w:rPr>
        <w:t xml:space="preserve"> quant à lui</w:t>
      </w:r>
      <w:r w:rsidR="00701508">
        <w:rPr>
          <w:rFonts w:ascii="Times New Roman" w:hAnsi="Times New Roman" w:cs="Times New Roman"/>
        </w:rPr>
        <w:t>,</w:t>
      </w:r>
      <w:r w:rsidRPr="00276EF2">
        <w:rPr>
          <w:rFonts w:ascii="Times New Roman" w:hAnsi="Times New Roman" w:cs="Times New Roman"/>
        </w:rPr>
        <w:t xml:space="preserve"> plus nuancé en ce sens qu’il reconnaissait le « concept » ou « approche de précaution » en un « principe de droit naissant » qui pourrait à l’avenir devenir l’un des « principes généraux de droit » reconnus par les nations civilisées au sens de l’article 38.1) c) du Statut de la Cour internationale de justice</w:t>
      </w:r>
      <w:r w:rsidRPr="00276EF2">
        <w:rPr>
          <w:rStyle w:val="Marquenotebasdepage"/>
          <w:rFonts w:ascii="Times New Roman" w:hAnsi="Times New Roman" w:cs="Times New Roman"/>
        </w:rPr>
        <w:footnoteReference w:id="497"/>
      </w:r>
      <w:r w:rsidRPr="00276EF2">
        <w:rPr>
          <w:rFonts w:ascii="Times New Roman" w:hAnsi="Times New Roman" w:cs="Times New Roman"/>
        </w:rPr>
        <w:t>.</w:t>
      </w:r>
    </w:p>
    <w:p w14:paraId="0196CA47" w14:textId="77777777" w:rsidR="00126F69" w:rsidRDefault="00126F69" w:rsidP="00126F69">
      <w:pPr>
        <w:spacing w:line="360" w:lineRule="auto"/>
        <w:jc w:val="both"/>
        <w:rPr>
          <w:rFonts w:ascii="Times New Roman" w:hAnsi="Times New Roman" w:cs="Times New Roman"/>
        </w:rPr>
      </w:pPr>
    </w:p>
    <w:p w14:paraId="25E50411" w14:textId="045549CB" w:rsidR="00126F69" w:rsidRPr="00A363A9" w:rsidRDefault="00126F69" w:rsidP="00126F69">
      <w:pPr>
        <w:spacing w:line="360" w:lineRule="auto"/>
        <w:jc w:val="both"/>
        <w:rPr>
          <w:rFonts w:ascii="Times New Roman" w:hAnsi="Times New Roman" w:cs="Times New Roman"/>
          <w:highlight w:val="cyan"/>
        </w:rPr>
      </w:pPr>
      <w:r>
        <w:rPr>
          <w:rFonts w:ascii="Times New Roman" w:hAnsi="Times New Roman" w:cs="Times New Roman"/>
        </w:rPr>
        <w:t>Pour la première fois dans l’histoire du GATT/OMC, les Groupes spéciaux et l’Organe d’appel se sont engagés dans une analyse consciencieuse des fondements scientifiques de la politique sanitaire d’un Membre de l’OMC</w:t>
      </w:r>
      <w:r>
        <w:rPr>
          <w:rStyle w:val="Marquenotebasdepage"/>
          <w:rFonts w:ascii="Times New Roman" w:hAnsi="Times New Roman" w:cs="Times New Roman"/>
        </w:rPr>
        <w:footnoteReference w:id="498"/>
      </w:r>
      <w:r>
        <w:rPr>
          <w:rFonts w:ascii="Times New Roman" w:hAnsi="Times New Roman" w:cs="Times New Roman"/>
        </w:rPr>
        <w:t xml:space="preserve">. </w:t>
      </w:r>
    </w:p>
    <w:p w14:paraId="5DD9BC74" w14:textId="77777777" w:rsidR="00126F69" w:rsidRDefault="00126F69" w:rsidP="00126F69">
      <w:pPr>
        <w:spacing w:line="360" w:lineRule="auto"/>
        <w:jc w:val="both"/>
        <w:rPr>
          <w:rFonts w:ascii="Times New Roman" w:hAnsi="Times New Roman" w:cs="Times New Roman"/>
        </w:rPr>
      </w:pPr>
    </w:p>
    <w:p w14:paraId="051FA026" w14:textId="62AB4A36" w:rsidR="00126F69" w:rsidRDefault="00126F69" w:rsidP="00126F69">
      <w:pPr>
        <w:spacing w:line="360" w:lineRule="auto"/>
        <w:jc w:val="both"/>
        <w:rPr>
          <w:rFonts w:ascii="Times New Roman" w:hAnsi="Times New Roman" w:cs="Times New Roman"/>
        </w:rPr>
      </w:pPr>
      <w:r w:rsidRPr="00617463">
        <w:rPr>
          <w:rFonts w:ascii="Times New Roman" w:hAnsi="Times New Roman" w:cs="Times New Roman"/>
        </w:rPr>
        <w:t>A la suite de la décision du Groupe spécial, les CE ont introduit une procédure en appel.</w:t>
      </w:r>
      <w:r>
        <w:rPr>
          <w:rFonts w:ascii="Times New Roman" w:hAnsi="Times New Roman" w:cs="Times New Roman"/>
        </w:rPr>
        <w:t xml:space="preserve"> Parmi les dix questions de droit examinées par l’Organe d’appel, seule une attention particulière est portée au principe de précaution dans le cadre de cette analyse</w:t>
      </w:r>
      <w:r w:rsidR="00701508">
        <w:rPr>
          <w:rFonts w:ascii="Times New Roman" w:hAnsi="Times New Roman" w:cs="Times New Roman"/>
        </w:rPr>
        <w:t>,</w:t>
      </w:r>
      <w:r>
        <w:rPr>
          <w:rFonts w:ascii="Times New Roman" w:hAnsi="Times New Roman" w:cs="Times New Roman"/>
        </w:rPr>
        <w:t xml:space="preserve"> afin de savoir si et dans quelle mesure il est pertinent pour l’interprétation de l’Accord SPS</w:t>
      </w:r>
      <w:r w:rsidRPr="006A319B">
        <w:rPr>
          <w:rStyle w:val="Marquenotebasdepage"/>
          <w:rFonts w:ascii="Times New Roman" w:hAnsi="Times New Roman" w:cs="Times New Roman"/>
        </w:rPr>
        <w:footnoteReference w:id="499"/>
      </w:r>
      <w:r w:rsidRPr="006A319B">
        <w:rPr>
          <w:rFonts w:ascii="Times New Roman" w:hAnsi="Times New Roman" w:cs="Times New Roman"/>
        </w:rPr>
        <w:t>.</w:t>
      </w:r>
      <w:r>
        <w:rPr>
          <w:rFonts w:ascii="Times New Roman" w:hAnsi="Times New Roman" w:cs="Times New Roman"/>
        </w:rPr>
        <w:t xml:space="preserve"> Il faut souligner que l’affaire </w:t>
      </w:r>
      <w:r w:rsidRPr="00917E94">
        <w:rPr>
          <w:rFonts w:ascii="Times New Roman" w:hAnsi="Times New Roman" w:cs="Times New Roman"/>
          <w:i/>
        </w:rPr>
        <w:t>Hormones</w:t>
      </w:r>
      <w:r>
        <w:rPr>
          <w:rFonts w:ascii="Times New Roman" w:hAnsi="Times New Roman" w:cs="Times New Roman"/>
        </w:rPr>
        <w:t xml:space="preserve"> est celle dans laquelle le statut du principe de précaution a été le plus débattu</w:t>
      </w:r>
      <w:r>
        <w:rPr>
          <w:rStyle w:val="Marquenotebasdepage"/>
          <w:rFonts w:ascii="Times New Roman" w:hAnsi="Times New Roman" w:cs="Times New Roman"/>
        </w:rPr>
        <w:footnoteReference w:id="500"/>
      </w:r>
      <w:r>
        <w:rPr>
          <w:rFonts w:ascii="Times New Roman" w:hAnsi="Times New Roman" w:cs="Times New Roman"/>
        </w:rPr>
        <w:t xml:space="preserve">. Pour ce faire, il convient de se pencher sur la pertinence du principe de précaution dans l’interprétation de l’Accord SPS. Il faut tout d’abord souligner que </w:t>
      </w:r>
      <w:r w:rsidRPr="006A319B">
        <w:rPr>
          <w:rFonts w:ascii="Times New Roman" w:hAnsi="Times New Roman" w:cs="Times New Roman"/>
        </w:rPr>
        <w:t>les textes juridiques de l’OMC ne contiennent aucune référence au principe de précaution</w:t>
      </w:r>
      <w:r w:rsidRPr="006A319B">
        <w:rPr>
          <w:rStyle w:val="Marquenotebasdepage"/>
          <w:rFonts w:ascii="Times New Roman" w:hAnsi="Times New Roman" w:cs="Times New Roman"/>
        </w:rPr>
        <w:footnoteReference w:id="501"/>
      </w:r>
      <w:r w:rsidRPr="006A319B">
        <w:rPr>
          <w:rFonts w:ascii="Times New Roman" w:hAnsi="Times New Roman" w:cs="Times New Roman"/>
        </w:rPr>
        <w:t>.</w:t>
      </w:r>
      <w:r>
        <w:rPr>
          <w:rFonts w:ascii="Times New Roman" w:hAnsi="Times New Roman" w:cs="Times New Roman"/>
        </w:rPr>
        <w:t xml:space="preserve"> D’après les CE, si les Groupes spéciaux avaient interprété l’accord SPS à la lumière du principe de précaution, conformément aux règles coutumières d’interprétation, ils auraient apporté une conclusion différente concernant la compatibilité avec le droit de l’OMC de l’interdiction frappant les hormones</w:t>
      </w:r>
      <w:r>
        <w:rPr>
          <w:rStyle w:val="Marquenotebasdepage"/>
          <w:rFonts w:ascii="Times New Roman" w:hAnsi="Times New Roman" w:cs="Times New Roman"/>
        </w:rPr>
        <w:footnoteReference w:id="502"/>
      </w:r>
      <w:r>
        <w:rPr>
          <w:rFonts w:ascii="Times New Roman" w:hAnsi="Times New Roman" w:cs="Times New Roman"/>
        </w:rPr>
        <w:t xml:space="preserve">.  </w:t>
      </w:r>
      <w:r w:rsidR="00701508">
        <w:rPr>
          <w:rFonts w:ascii="Times New Roman" w:hAnsi="Times New Roman" w:cs="Times New Roman"/>
        </w:rPr>
        <w:t>La prétention des CE se fondai</w:t>
      </w:r>
      <w:r>
        <w:rPr>
          <w:rFonts w:ascii="Times New Roman" w:hAnsi="Times New Roman" w:cs="Times New Roman"/>
        </w:rPr>
        <w:t>t sur la présomption que le principe de précaution avait acquis le statut de règle du droit international général</w:t>
      </w:r>
      <w:r>
        <w:rPr>
          <w:rStyle w:val="Marquenotebasdepage"/>
          <w:rFonts w:ascii="Times New Roman" w:hAnsi="Times New Roman" w:cs="Times New Roman"/>
        </w:rPr>
        <w:footnoteReference w:id="503"/>
      </w:r>
      <w:r>
        <w:rPr>
          <w:rFonts w:ascii="Times New Roman" w:hAnsi="Times New Roman" w:cs="Times New Roman"/>
        </w:rPr>
        <w:t xml:space="preserve">. </w:t>
      </w:r>
      <w:r w:rsidRPr="00267DC6">
        <w:rPr>
          <w:rFonts w:ascii="Times New Roman" w:hAnsi="Times New Roman" w:cs="Times New Roman"/>
        </w:rPr>
        <w:t>Par conséquent, il devait être lu dans les articles 2§2 et 5§1 de l’Accord SPS, en conformité avec le principe inscrit dans l’article 31.1 (c) de la Convention de Vienne sur le droit des traités</w:t>
      </w:r>
      <w:r w:rsidRPr="00267DC6">
        <w:rPr>
          <w:rStyle w:val="Marquenotebasdepage"/>
          <w:rFonts w:ascii="Times New Roman" w:hAnsi="Times New Roman" w:cs="Times New Roman"/>
        </w:rPr>
        <w:footnoteReference w:id="504"/>
      </w:r>
      <w:r w:rsidRPr="00267DC6">
        <w:rPr>
          <w:rFonts w:ascii="Times New Roman" w:hAnsi="Times New Roman" w:cs="Times New Roman"/>
        </w:rPr>
        <w:t xml:space="preserve">. Selon cette approche, le principe de précaution devait être considéré comme une </w:t>
      </w:r>
      <w:r w:rsidRPr="00B24C95">
        <w:rPr>
          <w:rFonts w:ascii="Times New Roman" w:hAnsi="Times New Roman" w:cs="Times New Roman"/>
          <w:i/>
        </w:rPr>
        <w:t>« norme originellement étrangère au système juridique de l’OMC, quoique capable de l’infiltrer par des techniques interprétatives »</w:t>
      </w:r>
      <w:r w:rsidRPr="00267DC6">
        <w:rPr>
          <w:rStyle w:val="Marquenotebasdepage"/>
          <w:rFonts w:ascii="Times New Roman" w:hAnsi="Times New Roman" w:cs="Times New Roman"/>
        </w:rPr>
        <w:footnoteReference w:id="505"/>
      </w:r>
      <w:r w:rsidRPr="00267DC6">
        <w:rPr>
          <w:rFonts w:ascii="Times New Roman" w:hAnsi="Times New Roman" w:cs="Times New Roman"/>
        </w:rPr>
        <w:t>.</w:t>
      </w:r>
      <w:r w:rsidRPr="008269E0">
        <w:rPr>
          <w:rFonts w:ascii="Times New Roman" w:hAnsi="Times New Roman" w:cs="Times New Roman"/>
        </w:rPr>
        <w:t xml:space="preserve"> </w:t>
      </w:r>
      <w:r>
        <w:rPr>
          <w:rFonts w:ascii="Times New Roman" w:hAnsi="Times New Roman" w:cs="Times New Roman"/>
        </w:rPr>
        <w:t>Cette présomption n’était cependant pas évidente</w:t>
      </w:r>
      <w:r>
        <w:rPr>
          <w:rStyle w:val="Marquenotebasdepage"/>
          <w:rFonts w:ascii="Times New Roman" w:hAnsi="Times New Roman" w:cs="Times New Roman"/>
        </w:rPr>
        <w:footnoteReference w:id="506"/>
      </w:r>
      <w:r>
        <w:rPr>
          <w:rFonts w:ascii="Times New Roman" w:hAnsi="Times New Roman" w:cs="Times New Roman"/>
        </w:rPr>
        <w:t xml:space="preserve">. Selon le Groupe spécial, </w:t>
      </w:r>
      <w:r w:rsidRPr="00B24C95">
        <w:rPr>
          <w:rFonts w:ascii="Times New Roman" w:hAnsi="Times New Roman" w:cs="Times New Roman"/>
          <w:i/>
        </w:rPr>
        <w:t>« même si le principe de précaution était de nature coutumière, il ne l’emportait pas sur l’énoncé explicite des dispositions de l’article 5.1</w:t>
      </w:r>
      <w:r>
        <w:rPr>
          <w:rStyle w:val="Marquenotebasdepage"/>
          <w:rFonts w:ascii="Times New Roman" w:hAnsi="Times New Roman" w:cs="Times New Roman"/>
          <w:i/>
        </w:rPr>
        <w:footnoteReference w:id="507"/>
      </w:r>
      <w:r w:rsidRPr="00B24C95">
        <w:rPr>
          <w:rFonts w:ascii="Times New Roman" w:hAnsi="Times New Roman" w:cs="Times New Roman"/>
          <w:i/>
        </w:rPr>
        <w:t xml:space="preserve"> et 5.2</w:t>
      </w:r>
      <w:r>
        <w:rPr>
          <w:rStyle w:val="Marquenotebasdepage"/>
          <w:rFonts w:ascii="Times New Roman" w:hAnsi="Times New Roman" w:cs="Times New Roman"/>
          <w:i/>
        </w:rPr>
        <w:footnoteReference w:id="508"/>
      </w:r>
      <w:r w:rsidRPr="00B24C95">
        <w:rPr>
          <w:rFonts w:ascii="Times New Roman" w:hAnsi="Times New Roman" w:cs="Times New Roman"/>
          <w:i/>
        </w:rPr>
        <w:t xml:space="preserve"> de l’Accord sur l’application des mesures sanitaires et phytosanitaires en cause dans cette affaire »</w:t>
      </w:r>
      <w:r>
        <w:rPr>
          <w:rStyle w:val="Marquenotebasdepage"/>
          <w:rFonts w:ascii="Times New Roman" w:hAnsi="Times New Roman" w:cs="Times New Roman"/>
        </w:rPr>
        <w:footnoteReference w:id="509"/>
      </w:r>
      <w:r>
        <w:rPr>
          <w:rFonts w:ascii="Times New Roman" w:hAnsi="Times New Roman" w:cs="Times New Roman"/>
        </w:rPr>
        <w:t>.</w:t>
      </w:r>
    </w:p>
    <w:p w14:paraId="53CBB874" w14:textId="77777777" w:rsidR="0079521C" w:rsidRDefault="0079521C" w:rsidP="00126F69">
      <w:pPr>
        <w:spacing w:line="360" w:lineRule="auto"/>
        <w:jc w:val="both"/>
        <w:rPr>
          <w:rFonts w:ascii="Times New Roman" w:hAnsi="Times New Roman" w:cs="Times New Roman"/>
        </w:rPr>
      </w:pPr>
    </w:p>
    <w:p w14:paraId="69F295C0" w14:textId="57FC5FA0" w:rsidR="00126F69" w:rsidRDefault="00126F69" w:rsidP="00126F69">
      <w:pPr>
        <w:spacing w:line="360" w:lineRule="auto"/>
        <w:jc w:val="both"/>
        <w:rPr>
          <w:rFonts w:ascii="Times New Roman" w:hAnsi="Times New Roman" w:cs="Times New Roman"/>
        </w:rPr>
      </w:pPr>
      <w:r w:rsidRPr="00267DC6">
        <w:rPr>
          <w:rFonts w:ascii="Times New Roman" w:hAnsi="Times New Roman" w:cs="Times New Roman"/>
        </w:rPr>
        <w:t>Après avoir effectué un rapide examen du débat de la doctrine à ce sujet et constaté que cette dernière était divisée, l’Organe d’appel a fait une déclaration quelque peu dubitative</w:t>
      </w:r>
      <w:r w:rsidRPr="00267DC6">
        <w:rPr>
          <w:rStyle w:val="Marquenotebasdepage"/>
          <w:rFonts w:ascii="Times New Roman" w:hAnsi="Times New Roman" w:cs="Times New Roman"/>
        </w:rPr>
        <w:footnoteReference w:id="510"/>
      </w:r>
      <w:r w:rsidRPr="00267DC6">
        <w:rPr>
          <w:rFonts w:ascii="Times New Roman" w:hAnsi="Times New Roman" w:cs="Times New Roman"/>
        </w:rPr>
        <w:t>.</w:t>
      </w:r>
      <w:r w:rsidRPr="000B7662">
        <w:rPr>
          <w:rFonts w:ascii="Times New Roman" w:hAnsi="Times New Roman" w:cs="Times New Roman"/>
        </w:rPr>
        <w:t xml:space="preserve"> </w:t>
      </w:r>
      <w:r>
        <w:rPr>
          <w:rFonts w:ascii="Times New Roman" w:hAnsi="Times New Roman" w:cs="Times New Roman"/>
        </w:rPr>
        <w:t>Il a repris l’argumentation des Groupes spéciaux</w:t>
      </w:r>
      <w:r>
        <w:rPr>
          <w:rStyle w:val="Marquenotebasdepage"/>
          <w:rFonts w:ascii="Times New Roman" w:hAnsi="Times New Roman" w:cs="Times New Roman"/>
        </w:rPr>
        <w:footnoteReference w:id="511"/>
      </w:r>
      <w:r>
        <w:rPr>
          <w:rFonts w:ascii="Times New Roman" w:hAnsi="Times New Roman" w:cs="Times New Roman"/>
        </w:rPr>
        <w:t xml:space="preserve"> et a également relevé d’une part, que le fait de savoir si le principe de précaution </w:t>
      </w:r>
      <w:r w:rsidRPr="00AE6E51">
        <w:rPr>
          <w:rFonts w:ascii="Times New Roman" w:hAnsi="Times New Roman" w:cs="Times New Roman"/>
          <w:i/>
        </w:rPr>
        <w:t>« est largement admis par les Membres comme principe de droit international coutumier ou général est moins clair »</w:t>
      </w:r>
      <w:r>
        <w:rPr>
          <w:rStyle w:val="Marquenotebasdepage"/>
          <w:rFonts w:ascii="Times New Roman" w:hAnsi="Times New Roman" w:cs="Times New Roman"/>
        </w:rPr>
        <w:footnoteReference w:id="512"/>
      </w:r>
      <w:r>
        <w:rPr>
          <w:rFonts w:ascii="Times New Roman" w:hAnsi="Times New Roman" w:cs="Times New Roman"/>
        </w:rPr>
        <w:t xml:space="preserve"> et d’autre part, que </w:t>
      </w:r>
      <w:r w:rsidRPr="005B396E">
        <w:rPr>
          <w:rFonts w:ascii="Times New Roman" w:hAnsi="Times New Roman" w:cs="Times New Roman"/>
          <w:i/>
        </w:rPr>
        <w:t>« le Groupe spécial lui-même n’a pas établi de constatation définitive concernant le statut du principe de précaution, du moins en dehors du droit international de l’environnement, n’a pas encore fait l’objet d’une formulation faisant autorité »</w:t>
      </w:r>
      <w:r>
        <w:rPr>
          <w:rStyle w:val="Marquenotebasdepage"/>
          <w:rFonts w:ascii="Times New Roman" w:hAnsi="Times New Roman" w:cs="Times New Roman"/>
        </w:rPr>
        <w:footnoteReference w:id="513"/>
      </w:r>
      <w:r>
        <w:rPr>
          <w:rFonts w:ascii="Times New Roman" w:hAnsi="Times New Roman" w:cs="Times New Roman"/>
        </w:rPr>
        <w:t xml:space="preserve">. En utilisant l’expression </w:t>
      </w:r>
      <w:r w:rsidRPr="001C5042">
        <w:rPr>
          <w:rFonts w:ascii="Times New Roman" w:hAnsi="Times New Roman" w:cs="Times New Roman"/>
          <w:i/>
        </w:rPr>
        <w:t>« formulation faisant autorité »</w:t>
      </w:r>
      <w:r>
        <w:rPr>
          <w:rFonts w:ascii="Times New Roman" w:hAnsi="Times New Roman" w:cs="Times New Roman"/>
        </w:rPr>
        <w:t xml:space="preserve">, l’Organe d’appel faisait directement référence au silence de la Cour internationale de Justice au sujet du principe de précaution dans l’affaire </w:t>
      </w:r>
      <w:r w:rsidRPr="00A52BC6">
        <w:rPr>
          <w:rFonts w:ascii="Times New Roman" w:hAnsi="Times New Roman" w:cs="Times New Roman"/>
          <w:i/>
        </w:rPr>
        <w:t>Gabcikovo-Nagymaros</w:t>
      </w:r>
      <w:r>
        <w:rPr>
          <w:rStyle w:val="Marquenotebasdepage"/>
          <w:rFonts w:ascii="Times New Roman" w:hAnsi="Times New Roman" w:cs="Times New Roman"/>
        </w:rPr>
        <w:footnoteReference w:id="514"/>
      </w:r>
      <w:r>
        <w:rPr>
          <w:rFonts w:ascii="Times New Roman" w:hAnsi="Times New Roman" w:cs="Times New Roman"/>
        </w:rPr>
        <w:t xml:space="preserve">. En effet, dans cette affaire, ce principe n’était pas mentionné parmi les </w:t>
      </w:r>
      <w:r w:rsidRPr="001C5042">
        <w:rPr>
          <w:rFonts w:ascii="Times New Roman" w:hAnsi="Times New Roman" w:cs="Times New Roman"/>
          <w:i/>
        </w:rPr>
        <w:t>« nouvelles normes et standards »</w:t>
      </w:r>
      <w:r>
        <w:rPr>
          <w:rFonts w:ascii="Times New Roman" w:hAnsi="Times New Roman" w:cs="Times New Roman"/>
        </w:rPr>
        <w:t xml:space="preserve"> qui étaient réputés apparus dans le domaine de la protection de l’environnement</w:t>
      </w:r>
      <w:r>
        <w:rPr>
          <w:rStyle w:val="Marquenotebasdepage"/>
          <w:rFonts w:ascii="Times New Roman" w:hAnsi="Times New Roman" w:cs="Times New Roman"/>
        </w:rPr>
        <w:footnoteReference w:id="515"/>
      </w:r>
      <w:r>
        <w:rPr>
          <w:rFonts w:ascii="Times New Roman" w:hAnsi="Times New Roman" w:cs="Times New Roman"/>
        </w:rPr>
        <w:t xml:space="preserve">. </w:t>
      </w:r>
    </w:p>
    <w:p w14:paraId="1A67CFF4" w14:textId="77777777" w:rsidR="00126F69" w:rsidRDefault="00126F69" w:rsidP="00126F69">
      <w:pPr>
        <w:spacing w:line="360" w:lineRule="auto"/>
        <w:jc w:val="both"/>
        <w:rPr>
          <w:rFonts w:ascii="Times New Roman" w:hAnsi="Times New Roman" w:cs="Times New Roman"/>
        </w:rPr>
      </w:pPr>
    </w:p>
    <w:p w14:paraId="1BA17805" w14:textId="4383442A" w:rsidR="00126F69" w:rsidRPr="00073B6C" w:rsidRDefault="00126F69" w:rsidP="00126F69">
      <w:pPr>
        <w:spacing w:line="360" w:lineRule="auto"/>
        <w:jc w:val="both"/>
        <w:rPr>
          <w:rFonts w:ascii="Times New Roman" w:hAnsi="Times New Roman" w:cs="Times New Roman"/>
        </w:rPr>
      </w:pPr>
      <w:r w:rsidRPr="00073B6C">
        <w:rPr>
          <w:rFonts w:ascii="Times New Roman" w:hAnsi="Times New Roman" w:cs="Times New Roman"/>
        </w:rPr>
        <w:t>Il convient de souligner que le principe de précaution n’a pas été incorporé dans l’Accord SPS</w:t>
      </w:r>
      <w:r w:rsidR="00073B6C" w:rsidRPr="00073B6C">
        <w:rPr>
          <w:rStyle w:val="Marquenotebasdepage"/>
          <w:rFonts w:ascii="Times New Roman" w:hAnsi="Times New Roman" w:cs="Times New Roman"/>
        </w:rPr>
        <w:footnoteReference w:id="516"/>
      </w:r>
      <w:r w:rsidRPr="00073B6C">
        <w:rPr>
          <w:rFonts w:ascii="Times New Roman" w:hAnsi="Times New Roman" w:cs="Times New Roman"/>
        </w:rPr>
        <w:t xml:space="preserve"> comme motif justifiant des mesures SPS</w:t>
      </w:r>
      <w:r w:rsidRPr="00073B6C">
        <w:rPr>
          <w:rStyle w:val="Marquenotebasdepage"/>
          <w:rFonts w:ascii="Times New Roman" w:hAnsi="Times New Roman" w:cs="Times New Roman"/>
        </w:rPr>
        <w:footnoteReference w:id="517"/>
      </w:r>
      <w:r w:rsidRPr="00073B6C">
        <w:rPr>
          <w:rFonts w:ascii="Times New Roman" w:hAnsi="Times New Roman" w:cs="Times New Roman"/>
        </w:rPr>
        <w:t>. Ainsi, la notion de « risque scientifiquement identifiable » qui avait été développée par le Groupe spécial a prédominé sur celle de « risque scientifiquement incertain » qui est intrinsèque au principe de précaution</w:t>
      </w:r>
      <w:r w:rsidRPr="00073B6C">
        <w:rPr>
          <w:rStyle w:val="Marquenotebasdepage"/>
          <w:rFonts w:ascii="Times New Roman" w:hAnsi="Times New Roman" w:cs="Times New Roman"/>
        </w:rPr>
        <w:footnoteReference w:id="518"/>
      </w:r>
      <w:r w:rsidRPr="00073B6C">
        <w:rPr>
          <w:rFonts w:ascii="Times New Roman" w:hAnsi="Times New Roman" w:cs="Times New Roman"/>
        </w:rPr>
        <w:t>.</w:t>
      </w:r>
    </w:p>
    <w:p w14:paraId="1C860A05" w14:textId="77777777" w:rsidR="00126F69" w:rsidRPr="00073B6C" w:rsidRDefault="00126F69" w:rsidP="00126F69">
      <w:pPr>
        <w:spacing w:line="360" w:lineRule="auto"/>
        <w:jc w:val="both"/>
        <w:rPr>
          <w:rFonts w:ascii="Times New Roman" w:hAnsi="Times New Roman" w:cs="Times New Roman"/>
        </w:rPr>
      </w:pPr>
      <w:r w:rsidRPr="00073B6C">
        <w:rPr>
          <w:rFonts w:ascii="Times New Roman" w:hAnsi="Times New Roman" w:cs="Times New Roman"/>
        </w:rPr>
        <w:t xml:space="preserve"> </w:t>
      </w:r>
    </w:p>
    <w:p w14:paraId="5D3B301D" w14:textId="2B6318F7" w:rsidR="00126F69" w:rsidRPr="00073B6C" w:rsidRDefault="00126F69" w:rsidP="00126F69">
      <w:pPr>
        <w:spacing w:line="360" w:lineRule="auto"/>
        <w:jc w:val="both"/>
        <w:rPr>
          <w:rFonts w:ascii="Times New Roman" w:hAnsi="Times New Roman" w:cs="Times New Roman"/>
        </w:rPr>
      </w:pPr>
      <w:r w:rsidRPr="00073B6C">
        <w:rPr>
          <w:rFonts w:ascii="Times New Roman" w:hAnsi="Times New Roman" w:cs="Times New Roman"/>
        </w:rPr>
        <w:t xml:space="preserve">Pour l’Organe d’appel, il est non seulement </w:t>
      </w:r>
      <w:r w:rsidRPr="00073B6C">
        <w:rPr>
          <w:rFonts w:ascii="Times New Roman" w:hAnsi="Times New Roman" w:cs="Times New Roman"/>
          <w:i/>
        </w:rPr>
        <w:t>« probablement imprudent »</w:t>
      </w:r>
      <w:r w:rsidRPr="00073B6C">
        <w:rPr>
          <w:rFonts w:ascii="Times New Roman" w:hAnsi="Times New Roman" w:cs="Times New Roman"/>
        </w:rPr>
        <w:t xml:space="preserve"> mais également </w:t>
      </w:r>
      <w:r w:rsidRPr="00073B6C">
        <w:rPr>
          <w:rFonts w:ascii="Times New Roman" w:hAnsi="Times New Roman" w:cs="Times New Roman"/>
          <w:i/>
        </w:rPr>
        <w:t>« superflu … que l’Organe d’appel prenne position dans le présent appel au sujet de cette question importante mais abstraite »</w:t>
      </w:r>
      <w:r w:rsidRPr="00073B6C">
        <w:rPr>
          <w:rStyle w:val="Marquenotebasdepage"/>
          <w:rFonts w:ascii="Times New Roman" w:hAnsi="Times New Roman" w:cs="Times New Roman"/>
        </w:rPr>
        <w:footnoteReference w:id="519"/>
      </w:r>
      <w:r w:rsidRPr="00073B6C">
        <w:rPr>
          <w:rFonts w:ascii="Times New Roman" w:hAnsi="Times New Roman" w:cs="Times New Roman"/>
        </w:rPr>
        <w:t xml:space="preserve">. Dans les faits, la décision d’éluder la question du statut juridique international du principe de précaution n’a pas empêché l’Organe d’appel </w:t>
      </w:r>
      <w:r w:rsidRPr="00073B6C">
        <w:rPr>
          <w:rFonts w:ascii="Times New Roman" w:hAnsi="Times New Roman" w:cs="Times New Roman"/>
          <w:i/>
        </w:rPr>
        <w:t>«de dénoter certains aspects de la relation »</w:t>
      </w:r>
      <w:r w:rsidRPr="00073B6C">
        <w:rPr>
          <w:rFonts w:ascii="Times New Roman" w:hAnsi="Times New Roman" w:cs="Times New Roman"/>
        </w:rPr>
        <w:t xml:space="preserve"> entre ce principe et l’Accord SPS. Il a d’ailleurs confirmé, dans des termes qui diffèrent quelques peu de ceux employés par les Groupes spéciaux, que le principe de précaution </w:t>
      </w:r>
      <w:r w:rsidRPr="00073B6C">
        <w:rPr>
          <w:rFonts w:ascii="Times New Roman" w:hAnsi="Times New Roman" w:cs="Times New Roman"/>
          <w:i/>
        </w:rPr>
        <w:t>« est effectivement pris en compte à l’article 5§7 de l’Accord SPS »</w:t>
      </w:r>
      <w:r w:rsidRPr="00073B6C">
        <w:rPr>
          <w:rStyle w:val="Marquenotebasdepage"/>
          <w:rFonts w:ascii="Times New Roman" w:hAnsi="Times New Roman" w:cs="Times New Roman"/>
          <w:i/>
        </w:rPr>
        <w:footnoteReference w:id="520"/>
      </w:r>
      <w:r w:rsidRPr="00073B6C">
        <w:rPr>
          <w:rFonts w:ascii="Times New Roman" w:hAnsi="Times New Roman" w:cs="Times New Roman"/>
        </w:rPr>
        <w:t xml:space="preserve">. Ainsi, il mentionne que </w:t>
      </w:r>
      <w:r w:rsidRPr="00073B6C">
        <w:rPr>
          <w:rFonts w:ascii="Times New Roman" w:hAnsi="Times New Roman" w:cs="Times New Roman"/>
          <w:i/>
        </w:rPr>
        <w:t>« dans les cas où les preuves scientifiques pertinentes seront insuffisantes, un Membre pourra provisoirement adopter les mesures sanitaires ou phytosanitaires sur la base de renseignements pertinents disponibles, y compris ceux qui émanent des organisations internationales compétentes ainsi que ceux qui découlent</w:t>
      </w:r>
      <w:r w:rsidR="00E36E95" w:rsidRPr="00073B6C">
        <w:rPr>
          <w:rFonts w:ascii="Times New Roman" w:hAnsi="Times New Roman" w:cs="Times New Roman"/>
          <w:i/>
        </w:rPr>
        <w:t xml:space="preserve"> </w:t>
      </w:r>
      <w:r w:rsidRPr="00073B6C">
        <w:rPr>
          <w:rFonts w:ascii="Times New Roman" w:hAnsi="Times New Roman" w:cs="Times New Roman"/>
          <w:i/>
        </w:rPr>
        <w:t>des mesures sanitaires ou phytosanitaires appliquées par d’autres Membres… »</w:t>
      </w:r>
      <w:r w:rsidRPr="00073B6C">
        <w:rPr>
          <w:rStyle w:val="Marquenotebasdepage"/>
          <w:rFonts w:ascii="Times New Roman" w:hAnsi="Times New Roman" w:cs="Times New Roman"/>
        </w:rPr>
        <w:footnoteReference w:id="521"/>
      </w:r>
      <w:r w:rsidRPr="00073B6C">
        <w:rPr>
          <w:rFonts w:ascii="Times New Roman" w:hAnsi="Times New Roman" w:cs="Times New Roman"/>
        </w:rPr>
        <w:t>. Ceci laisse ainsi une petite porte d’entrée au principe de précaution</w:t>
      </w:r>
      <w:r w:rsidRPr="00073B6C">
        <w:rPr>
          <w:rStyle w:val="Marquenotebasdepage"/>
          <w:rFonts w:ascii="Times New Roman" w:hAnsi="Times New Roman" w:cs="Times New Roman"/>
        </w:rPr>
        <w:footnoteReference w:id="522"/>
      </w:r>
      <w:r w:rsidRPr="00073B6C">
        <w:rPr>
          <w:rFonts w:ascii="Times New Roman" w:hAnsi="Times New Roman" w:cs="Times New Roman"/>
        </w:rPr>
        <w:t>.</w:t>
      </w:r>
    </w:p>
    <w:p w14:paraId="24437DFB" w14:textId="77777777" w:rsidR="008E35ED" w:rsidRPr="00073B6C" w:rsidRDefault="008E35ED" w:rsidP="00126F69">
      <w:pPr>
        <w:spacing w:line="360" w:lineRule="auto"/>
        <w:jc w:val="both"/>
        <w:rPr>
          <w:rFonts w:ascii="Times New Roman" w:hAnsi="Times New Roman" w:cs="Times New Roman"/>
        </w:rPr>
      </w:pPr>
    </w:p>
    <w:p w14:paraId="385DB89E" w14:textId="56FCA160" w:rsidR="00126F69" w:rsidRDefault="00126F69" w:rsidP="00126F69">
      <w:pPr>
        <w:spacing w:line="360" w:lineRule="auto"/>
        <w:jc w:val="both"/>
        <w:rPr>
          <w:rFonts w:ascii="Times New Roman" w:hAnsi="Times New Roman" w:cs="Times New Roman"/>
        </w:rPr>
      </w:pPr>
      <w:r w:rsidRPr="00073B6C">
        <w:rPr>
          <w:rFonts w:ascii="Times New Roman" w:hAnsi="Times New Roman" w:cs="Times New Roman"/>
        </w:rPr>
        <w:t>En outre, contrairement à ce que les Groupes spéciaux avaient énoncé, l’Organe d’appel a établi que la pertinence du principe de précaution n’était pas confinée à l’article 5§7 de l’Accord SPS</w:t>
      </w:r>
      <w:r w:rsidRPr="00073B6C">
        <w:rPr>
          <w:rStyle w:val="Marquenotebasdepage"/>
          <w:rFonts w:ascii="Times New Roman" w:hAnsi="Times New Roman" w:cs="Times New Roman"/>
        </w:rPr>
        <w:footnoteReference w:id="523"/>
      </w:r>
      <w:r w:rsidRPr="00073B6C">
        <w:rPr>
          <w:rFonts w:ascii="Times New Roman" w:hAnsi="Times New Roman" w:cs="Times New Roman"/>
        </w:rPr>
        <w:t>. En effet,</w:t>
      </w:r>
      <w:r w:rsidRPr="00073B6C">
        <w:rPr>
          <w:rFonts w:ascii="Times New Roman" w:hAnsi="Times New Roman"/>
        </w:rPr>
        <w:t xml:space="preserve"> l’Organe d’appel a observé que le principe de précaution trouvait un écho non seulement dans le Préambule de l’Accord SPS mais également dans l’article 3§3 de l’Accord SPS</w:t>
      </w:r>
      <w:r w:rsidRPr="00073B6C">
        <w:rPr>
          <w:rFonts w:ascii="Times New Roman" w:hAnsi="Times New Roman" w:cs="Times New Roman"/>
        </w:rPr>
        <w:t> : </w:t>
      </w:r>
      <w:r w:rsidRPr="00073B6C">
        <w:rPr>
          <w:rFonts w:ascii="Times New Roman" w:hAnsi="Times New Roman" w:cs="Times New Roman"/>
          <w:i/>
        </w:rPr>
        <w:t>« ce principe est également pris en compte dans le sixième alinéa du Préambule et à l’article 3§3 qui reconnaissent explicitement le droit des Etats Membres d’établir leur propre niveau approprié de protection sanitaire, lequel peut être plus élevé (c’est-à-dire plus prudent) que celui qu’impliquent les normes, directives et recommandations internationales existantes »</w:t>
      </w:r>
      <w:r w:rsidRPr="00073B6C">
        <w:rPr>
          <w:rStyle w:val="Marquenotebasdepage"/>
          <w:rFonts w:ascii="Times New Roman" w:hAnsi="Times New Roman" w:cs="Times New Roman"/>
        </w:rPr>
        <w:footnoteReference w:id="524"/>
      </w:r>
      <w:r w:rsidRPr="00073B6C">
        <w:rPr>
          <w:rFonts w:ascii="Times New Roman" w:hAnsi="Times New Roman" w:cs="Times New Roman"/>
        </w:rPr>
        <w:t xml:space="preserve">. </w:t>
      </w:r>
      <w:r w:rsidRPr="00073B6C">
        <w:rPr>
          <w:rFonts w:ascii="Times New Roman" w:hAnsi="Times New Roman"/>
        </w:rPr>
        <w:t>L’Organe d’appel a donc explicitement lié le princ</w:t>
      </w:r>
      <w:r w:rsidRPr="006F71E6">
        <w:rPr>
          <w:rFonts w:ascii="Times New Roman" w:hAnsi="Times New Roman"/>
        </w:rPr>
        <w:t>ipe de précaution au droit des Membres d’autodéterminer leurs niveaux de protection sanitaire</w:t>
      </w:r>
      <w:r w:rsidRPr="006F71E6">
        <w:rPr>
          <w:rStyle w:val="Marquenotebasdepage"/>
          <w:rFonts w:ascii="Times New Roman" w:hAnsi="Times New Roman"/>
        </w:rPr>
        <w:footnoteReference w:id="525"/>
      </w:r>
      <w:r w:rsidRPr="006F71E6">
        <w:rPr>
          <w:rFonts w:ascii="Times New Roman" w:hAnsi="Times New Roman"/>
        </w:rPr>
        <w:t>.</w:t>
      </w:r>
      <w:r>
        <w:rPr>
          <w:rFonts w:ascii="Times New Roman" w:hAnsi="Times New Roman"/>
        </w:rPr>
        <w:t xml:space="preserve"> L’approche de l’Organe d’appel consiste ainsi à déduire le principe de précaution du contenu de l’Accord SPS, « plutôt que d’appréhender ce principe comme une norme extrinsèque pertinente dans le cadre de l’interprétation »</w:t>
      </w:r>
      <w:r>
        <w:rPr>
          <w:rStyle w:val="Marquenotebasdepage"/>
          <w:rFonts w:ascii="Times New Roman" w:hAnsi="Times New Roman"/>
        </w:rPr>
        <w:footnoteReference w:id="526"/>
      </w:r>
      <w:r>
        <w:rPr>
          <w:rFonts w:ascii="Times New Roman" w:hAnsi="Times New Roman"/>
        </w:rPr>
        <w:t>. Cette approche est assez convaincante</w:t>
      </w:r>
      <w:r>
        <w:rPr>
          <w:rStyle w:val="Marquenotebasdepage"/>
          <w:rFonts w:ascii="Times New Roman" w:hAnsi="Times New Roman"/>
        </w:rPr>
        <w:footnoteReference w:id="527"/>
      </w:r>
      <w:r>
        <w:rPr>
          <w:rFonts w:ascii="Times New Roman" w:hAnsi="Times New Roman"/>
        </w:rPr>
        <w:t xml:space="preserve"> surtout si on a égard à l’incertitude qui caractérise le statut du principe de précaution dans le droit international général</w:t>
      </w:r>
      <w:r>
        <w:rPr>
          <w:rStyle w:val="Marquenotebasdepage"/>
          <w:rFonts w:ascii="Times New Roman" w:hAnsi="Times New Roman"/>
        </w:rPr>
        <w:footnoteReference w:id="528"/>
      </w:r>
      <w:r>
        <w:rPr>
          <w:rFonts w:ascii="Times New Roman" w:hAnsi="Times New Roman"/>
        </w:rPr>
        <w:t>. En outre, le fait que l’Organe d’appel ait lié fermement ce principe au droit des Membres d’autodéterminer leur niveau de protection semble « promouvoir une valorisation des choix politiques préventifs »</w:t>
      </w:r>
      <w:r>
        <w:rPr>
          <w:rStyle w:val="Marquenotebasdepage"/>
          <w:rFonts w:ascii="Times New Roman" w:hAnsi="Times New Roman"/>
        </w:rPr>
        <w:footnoteReference w:id="529"/>
      </w:r>
      <w:r>
        <w:rPr>
          <w:rFonts w:ascii="Times New Roman" w:hAnsi="Times New Roman"/>
        </w:rPr>
        <w:t>. Ce droit entraîne dès lors pour les Membres la liberté de choisir l’hypothèse scientifique qu’il considère comme étant la plus adéquate lorsqu’ils sont confrontés à des hypothèses scientifiques concurrentes. Il importe d’ailleurs peu que l’hypothèse scientifique de leur choix soit celle qui est soutenue par une minorité d’experts</w:t>
      </w:r>
      <w:r>
        <w:rPr>
          <w:rStyle w:val="Marquenotebasdepage"/>
          <w:rFonts w:ascii="Times New Roman" w:hAnsi="Times New Roman"/>
        </w:rPr>
        <w:footnoteReference w:id="530"/>
      </w:r>
      <w:r>
        <w:rPr>
          <w:rFonts w:ascii="Times New Roman" w:hAnsi="Times New Roman"/>
        </w:rPr>
        <w:t xml:space="preserve">. </w:t>
      </w:r>
    </w:p>
    <w:p w14:paraId="34C7B54B" w14:textId="77777777" w:rsidR="003E741C" w:rsidRDefault="003E741C" w:rsidP="00126F69">
      <w:pPr>
        <w:spacing w:line="360" w:lineRule="auto"/>
        <w:jc w:val="both"/>
        <w:rPr>
          <w:rFonts w:ascii="Times New Roman" w:hAnsi="Times New Roman" w:cs="Times New Roman"/>
        </w:rPr>
      </w:pPr>
    </w:p>
    <w:p w14:paraId="0DFEB2F0" w14:textId="7EDC7DDE" w:rsidR="00183B56" w:rsidRDefault="00126F69" w:rsidP="00C663CB">
      <w:pPr>
        <w:spacing w:line="360" w:lineRule="auto"/>
        <w:jc w:val="both"/>
        <w:rPr>
          <w:rFonts w:ascii="Times New Roman" w:hAnsi="Times New Roman" w:cs="Times New Roman"/>
        </w:rPr>
      </w:pPr>
      <w:r>
        <w:rPr>
          <w:rFonts w:ascii="Times New Roman" w:hAnsi="Times New Roman" w:cs="Times New Roman"/>
        </w:rPr>
        <w:t xml:space="preserve">Malgré ce qui vient d’être explicité, l’Organe d’appel a considéré que les conclusions des Groupes spéciaux qui mentionnaient que le principe de précaution </w:t>
      </w:r>
      <w:r w:rsidRPr="00EC5AD5">
        <w:rPr>
          <w:rFonts w:ascii="Times New Roman" w:hAnsi="Times New Roman" w:cs="Times New Roman"/>
          <w:i/>
        </w:rPr>
        <w:t>« ne l’emporte pas sur les dispositions de l’article 5§1 et 2 de l’Accord SPS »</w:t>
      </w:r>
      <w:r>
        <w:rPr>
          <w:rFonts w:ascii="Times New Roman" w:hAnsi="Times New Roman" w:cs="Times New Roman"/>
        </w:rPr>
        <w:t xml:space="preserve"> étaient, en substance, incontestables</w:t>
      </w:r>
      <w:r>
        <w:rPr>
          <w:rStyle w:val="Marquenotebasdepage"/>
          <w:rFonts w:ascii="Times New Roman" w:hAnsi="Times New Roman" w:cs="Times New Roman"/>
        </w:rPr>
        <w:footnoteReference w:id="531"/>
      </w:r>
      <w:r>
        <w:rPr>
          <w:rFonts w:ascii="Times New Roman" w:hAnsi="Times New Roman" w:cs="Times New Roman"/>
        </w:rPr>
        <w:t xml:space="preserve">. En effet, il a énoncé que </w:t>
      </w:r>
      <w:r w:rsidRPr="0050494B">
        <w:rPr>
          <w:rFonts w:ascii="Times New Roman" w:hAnsi="Times New Roman" w:cs="Times New Roman"/>
          <w:i/>
        </w:rPr>
        <w:t>« le principe de précaution ne dispense pas, toutefois, en soi et sans une directive claire et explicite dans ce sens, le Groupe spécial de l’obligation d’appliquer les principes normaux (c’est-à-dire du droit international coutumier) de l’interprétation des traités pour interpréter les dispositions de l’Accord SPS »</w:t>
      </w:r>
      <w:r>
        <w:rPr>
          <w:rStyle w:val="Marquenotebasdepage"/>
          <w:rFonts w:ascii="Times New Roman" w:hAnsi="Times New Roman" w:cs="Times New Roman"/>
          <w:i/>
        </w:rPr>
        <w:footnoteReference w:id="532"/>
      </w:r>
      <w:r>
        <w:rPr>
          <w:rFonts w:ascii="Times New Roman" w:hAnsi="Times New Roman" w:cs="Times New Roman"/>
        </w:rPr>
        <w:t xml:space="preserve">.  Tout Groupe spécial </w:t>
      </w:r>
      <w:r w:rsidRPr="0050494B">
        <w:rPr>
          <w:rFonts w:ascii="Times New Roman" w:hAnsi="Times New Roman" w:cs="Times New Roman"/>
          <w:i/>
        </w:rPr>
        <w:t>« peut, évidemment, et doit »</w:t>
      </w:r>
      <w:r>
        <w:rPr>
          <w:rFonts w:ascii="Times New Roman" w:hAnsi="Times New Roman" w:cs="Times New Roman"/>
        </w:rPr>
        <w:t>, lorsqu’il doit déterminer si un obstacle au commerce est fondé sur des preuves scientifiques suffisantes</w:t>
      </w:r>
      <w:r>
        <w:rPr>
          <w:rStyle w:val="Marquenotebasdepage"/>
          <w:rFonts w:ascii="Times New Roman" w:hAnsi="Times New Roman" w:cs="Times New Roman"/>
        </w:rPr>
        <w:footnoteReference w:id="533"/>
      </w:r>
      <w:r>
        <w:rPr>
          <w:rFonts w:ascii="Times New Roman" w:hAnsi="Times New Roman" w:cs="Times New Roman"/>
        </w:rPr>
        <w:t xml:space="preserve">, </w:t>
      </w:r>
      <w:r w:rsidRPr="0050494B">
        <w:rPr>
          <w:rFonts w:ascii="Times New Roman" w:hAnsi="Times New Roman" w:cs="Times New Roman"/>
          <w:i/>
        </w:rPr>
        <w:t>« garder à l’esprit que les gouvernements respectifs et conscients de leurs responsabilités agissent en général avec prudence et précaution en ce qui concerne les risques de dommages irréversibles, voire mortels, pour la santé des personnes »</w:t>
      </w:r>
      <w:r>
        <w:rPr>
          <w:rStyle w:val="Marquenotebasdepage"/>
          <w:rFonts w:ascii="Times New Roman" w:hAnsi="Times New Roman" w:cs="Times New Roman"/>
        </w:rPr>
        <w:footnoteReference w:id="534"/>
      </w:r>
      <w:r>
        <w:rPr>
          <w:rFonts w:ascii="Times New Roman" w:hAnsi="Times New Roman" w:cs="Times New Roman"/>
        </w:rPr>
        <w:t xml:space="preserve">. L’Organe d’appel considère que </w:t>
      </w:r>
      <w:r w:rsidRPr="00617463">
        <w:rPr>
          <w:rFonts w:ascii="Times New Roman" w:hAnsi="Times New Roman" w:cs="Times New Roman"/>
          <w:i/>
        </w:rPr>
        <w:t>« l’obligation de procéder à une évaluation des risques, qui est faite à l’article 5§1 (de l’Accord SPS), et la prescription relative aux « preuves scie</w:t>
      </w:r>
      <w:r w:rsidR="00701508">
        <w:rPr>
          <w:rFonts w:ascii="Times New Roman" w:hAnsi="Times New Roman" w:cs="Times New Roman"/>
          <w:i/>
        </w:rPr>
        <w:t>ntifiques suffisantes » énoncée</w:t>
      </w:r>
      <w:r w:rsidRPr="00617463">
        <w:rPr>
          <w:rFonts w:ascii="Times New Roman" w:hAnsi="Times New Roman" w:cs="Times New Roman"/>
          <w:i/>
        </w:rPr>
        <w:t xml:space="preserve"> à l’article 2§2 (de l’accord SPS), sont essentielles pour maintenir l’équilibre fragile qui a été soigneusement négocié dans l’Accord SPS entre les intérêts partagés quoique divergents qui consistent à promouvoir le commerce international et à protéger la vie et la santé des êtres humains »</w:t>
      </w:r>
      <w:r>
        <w:rPr>
          <w:rStyle w:val="Marquenotebasdepage"/>
          <w:rFonts w:ascii="Times New Roman" w:hAnsi="Times New Roman" w:cs="Times New Roman"/>
        </w:rPr>
        <w:footnoteReference w:id="535"/>
      </w:r>
      <w:r>
        <w:rPr>
          <w:rFonts w:ascii="Times New Roman" w:hAnsi="Times New Roman" w:cs="Times New Roman"/>
        </w:rPr>
        <w:t>.</w:t>
      </w:r>
    </w:p>
    <w:p w14:paraId="4ADCDFC9" w14:textId="46A2D8EF" w:rsidR="00D9658F" w:rsidRPr="00C663CB" w:rsidRDefault="006F4505" w:rsidP="00C663CB">
      <w:pPr>
        <w:spacing w:line="360" w:lineRule="auto"/>
        <w:jc w:val="both"/>
        <w:rPr>
          <w:rFonts w:ascii="Times New Roman" w:hAnsi="Times New Roman" w:cs="Times New Roman"/>
        </w:rPr>
      </w:pPr>
      <w:r>
        <w:rPr>
          <w:rFonts w:ascii="Times New Roman" w:hAnsi="Times New Roman" w:cs="Times New Roman"/>
        </w:rPr>
        <w:t xml:space="preserve"> </w:t>
      </w:r>
    </w:p>
    <w:p w14:paraId="34FAA0C4" w14:textId="77777777" w:rsidR="00891A59" w:rsidRDefault="00891A59"/>
    <w:p w14:paraId="7084AFDD" w14:textId="77777777" w:rsidR="005354AF" w:rsidRDefault="005354AF"/>
    <w:p w14:paraId="2D5B9DDC" w14:textId="77777777" w:rsidR="005354AF" w:rsidRDefault="005354AF"/>
    <w:p w14:paraId="2EC3BC0B" w14:textId="77777777" w:rsidR="005354AF" w:rsidRDefault="005354AF"/>
    <w:p w14:paraId="2611B18A" w14:textId="77777777" w:rsidR="005354AF" w:rsidRDefault="005354AF"/>
    <w:p w14:paraId="0FD4AFD0" w14:textId="77777777" w:rsidR="005354AF" w:rsidRDefault="005354AF"/>
    <w:p w14:paraId="6D696646" w14:textId="77777777" w:rsidR="005354AF" w:rsidRDefault="005354AF"/>
    <w:p w14:paraId="7F856F9B" w14:textId="77777777" w:rsidR="005354AF" w:rsidRDefault="005354AF"/>
    <w:p w14:paraId="3D1787F7" w14:textId="77777777" w:rsidR="005354AF" w:rsidRDefault="005354AF"/>
    <w:p w14:paraId="4AC7F5E8" w14:textId="77777777" w:rsidR="005354AF" w:rsidRDefault="005354AF"/>
    <w:p w14:paraId="7431A3B0" w14:textId="77777777" w:rsidR="005354AF" w:rsidRDefault="005354AF"/>
    <w:p w14:paraId="2F61920C" w14:textId="77777777" w:rsidR="005354AF" w:rsidRDefault="005354AF"/>
    <w:p w14:paraId="4D2C9A9E" w14:textId="77777777" w:rsidR="005354AF" w:rsidRDefault="005354AF"/>
    <w:p w14:paraId="43348B72" w14:textId="77777777" w:rsidR="005354AF" w:rsidRDefault="005354AF"/>
    <w:p w14:paraId="51D66B68" w14:textId="77777777" w:rsidR="005354AF" w:rsidRDefault="005354AF"/>
    <w:p w14:paraId="29E34A34" w14:textId="77777777" w:rsidR="005354AF" w:rsidRDefault="005354AF"/>
    <w:p w14:paraId="0FA26311" w14:textId="77777777" w:rsidR="005354AF" w:rsidRDefault="005354AF"/>
    <w:p w14:paraId="63BF432A" w14:textId="77777777" w:rsidR="005354AF" w:rsidRDefault="005354AF"/>
    <w:p w14:paraId="3B8080BE" w14:textId="77777777" w:rsidR="005354AF" w:rsidRDefault="005354AF"/>
    <w:p w14:paraId="4BD7D4BC" w14:textId="77777777" w:rsidR="005354AF" w:rsidRDefault="005354AF"/>
    <w:p w14:paraId="320916BA" w14:textId="77777777" w:rsidR="005354AF" w:rsidRDefault="005354AF"/>
    <w:p w14:paraId="21B99CAA" w14:textId="77777777" w:rsidR="005354AF" w:rsidRDefault="005354AF"/>
    <w:p w14:paraId="0050416D" w14:textId="77777777" w:rsidR="00891A59" w:rsidRDefault="00891A59"/>
    <w:p w14:paraId="36DBD0B1" w14:textId="77777777" w:rsidR="00D4737D" w:rsidRDefault="00D4737D"/>
    <w:p w14:paraId="3F268C1F" w14:textId="77777777" w:rsidR="00891A59" w:rsidRPr="00D74233" w:rsidRDefault="00891A59" w:rsidP="00891A59">
      <w:pPr>
        <w:rPr>
          <w:smallCaps/>
          <w:sz w:val="28"/>
          <w:szCs w:val="28"/>
          <w:u w:val="single"/>
        </w:rPr>
      </w:pPr>
      <w:r>
        <w:rPr>
          <w:smallCaps/>
          <w:sz w:val="28"/>
          <w:szCs w:val="28"/>
          <w:u w:val="single"/>
        </w:rPr>
        <w:t>Conclusion</w:t>
      </w:r>
    </w:p>
    <w:p w14:paraId="44DA540F" w14:textId="77777777" w:rsidR="00891A59" w:rsidRDefault="00891A59" w:rsidP="00891A59"/>
    <w:p w14:paraId="06D79247" w14:textId="77777777" w:rsidR="00891A59" w:rsidRDefault="00891A59" w:rsidP="00D3639F">
      <w:pPr>
        <w:spacing w:line="360" w:lineRule="auto"/>
        <w:ind w:firstLine="708"/>
        <w:jc w:val="both"/>
        <w:rPr>
          <w:rFonts w:ascii="Times New Roman" w:hAnsi="Times New Roman" w:cs="Times New Roman"/>
        </w:rPr>
      </w:pPr>
      <w:r>
        <w:rPr>
          <w:rFonts w:ascii="Times New Roman" w:hAnsi="Times New Roman" w:cs="Times New Roman"/>
        </w:rPr>
        <w:t>De prime abord, il faut remarquer que le protectionnisme au sein de l’Organisation Mondiale du C</w:t>
      </w:r>
      <w:r w:rsidRPr="00947BD1">
        <w:rPr>
          <w:rFonts w:ascii="Times New Roman" w:hAnsi="Times New Roman" w:cs="Times New Roman"/>
        </w:rPr>
        <w:t>ommerce a déjà fait couler beaucoup d’encre. Afin d’appréhender ce sujet de m</w:t>
      </w:r>
      <w:r>
        <w:rPr>
          <w:rFonts w:ascii="Times New Roman" w:hAnsi="Times New Roman" w:cs="Times New Roman"/>
        </w:rPr>
        <w:t xml:space="preserve">anière plus précise, </w:t>
      </w:r>
      <w:r w:rsidRPr="00947BD1">
        <w:rPr>
          <w:rFonts w:ascii="Times New Roman" w:hAnsi="Times New Roman" w:cs="Times New Roman"/>
        </w:rPr>
        <w:t>les notions de libre échange et de protectionnisme ainsi que l’interaction entre ces deux notions</w:t>
      </w:r>
      <w:r>
        <w:rPr>
          <w:rFonts w:ascii="Times New Roman" w:hAnsi="Times New Roman" w:cs="Times New Roman"/>
        </w:rPr>
        <w:t xml:space="preserve"> ont été analysé en vue d’une meilleure compréhension de la seconde partie de ce mémoire. </w:t>
      </w:r>
    </w:p>
    <w:p w14:paraId="17136492" w14:textId="77777777" w:rsidR="00891A59" w:rsidRDefault="00891A59" w:rsidP="00891A59">
      <w:pPr>
        <w:spacing w:line="360" w:lineRule="auto"/>
        <w:jc w:val="both"/>
        <w:rPr>
          <w:rFonts w:ascii="Times New Roman" w:hAnsi="Times New Roman" w:cs="Times New Roman"/>
        </w:rPr>
      </w:pPr>
    </w:p>
    <w:p w14:paraId="5E05E00C" w14:textId="58009234" w:rsidR="00891A59" w:rsidRDefault="00891A59" w:rsidP="00D3639F">
      <w:pPr>
        <w:spacing w:line="360" w:lineRule="auto"/>
        <w:ind w:firstLine="708"/>
        <w:jc w:val="both"/>
        <w:rPr>
          <w:rFonts w:ascii="Times New Roman" w:hAnsi="Times New Roman" w:cs="Times New Roman"/>
        </w:rPr>
      </w:pPr>
      <w:r>
        <w:rPr>
          <w:rFonts w:ascii="Times New Roman" w:hAnsi="Times New Roman" w:cs="Times New Roman"/>
        </w:rPr>
        <w:t>Après un rapide aperçu du commerce et de l’environnement dans la jurisprudence du GATT et de l’OMC, il est apparu que la mondialisation des échanges, la souveraineté des états ainsi que la protection de l’en</w:t>
      </w:r>
      <w:r w:rsidR="00D4737D">
        <w:rPr>
          <w:rFonts w:ascii="Times New Roman" w:hAnsi="Times New Roman" w:cs="Times New Roman"/>
        </w:rPr>
        <w:t>vironnement pouvaient présenter</w:t>
      </w:r>
      <w:r>
        <w:rPr>
          <w:rFonts w:ascii="Times New Roman" w:hAnsi="Times New Roman" w:cs="Times New Roman"/>
        </w:rPr>
        <w:t xml:space="preserve"> plus de liens entre eu</w:t>
      </w:r>
      <w:r w:rsidR="00D4737D">
        <w:rPr>
          <w:rFonts w:ascii="Times New Roman" w:hAnsi="Times New Roman" w:cs="Times New Roman"/>
        </w:rPr>
        <w:t>x que l’on aurait pu le croire</w:t>
      </w:r>
      <w:r>
        <w:rPr>
          <w:rFonts w:ascii="Times New Roman" w:hAnsi="Times New Roman" w:cs="Times New Roman"/>
        </w:rPr>
        <w:t>. Etant donné que les questions environnementales ne relèvent pas</w:t>
      </w:r>
      <w:r w:rsidRPr="007E649B">
        <w:rPr>
          <w:rFonts w:ascii="Times New Roman" w:hAnsi="Times New Roman" w:cs="Times New Roman"/>
          <w:i/>
        </w:rPr>
        <w:t xml:space="preserve"> stricto sensu</w:t>
      </w:r>
      <w:r>
        <w:rPr>
          <w:rFonts w:ascii="Times New Roman" w:hAnsi="Times New Roman" w:cs="Times New Roman"/>
        </w:rPr>
        <w:t xml:space="preserve"> du domaine commercial, il convient de souligner que l’OMC n’avait pas vocation à les appréhender directement. Ainsi, si la protection de l’environnement n’a pas été intégrée au droit international du commerce, il n’en demeure pas moins que les politiques commerciales et environnementales ne sont pas cloisonnées. Il apparaît ainsi que les liens entre le commerce et l’environnement sont évidents. Si les politiques environnementales ont une incidence sur le commerce international, il convient de souligner que le commerce international produit</w:t>
      </w:r>
      <w:r w:rsidR="00D4737D">
        <w:rPr>
          <w:rFonts w:ascii="Times New Roman" w:hAnsi="Times New Roman" w:cs="Times New Roman"/>
        </w:rPr>
        <w:t>,</w:t>
      </w:r>
      <w:r>
        <w:rPr>
          <w:rFonts w:ascii="Times New Roman" w:hAnsi="Times New Roman" w:cs="Times New Roman"/>
        </w:rPr>
        <w:t xml:space="preserve"> lui aussi</w:t>
      </w:r>
      <w:r w:rsidR="00D4737D">
        <w:rPr>
          <w:rFonts w:ascii="Times New Roman" w:hAnsi="Times New Roman" w:cs="Times New Roman"/>
        </w:rPr>
        <w:t>,</w:t>
      </w:r>
      <w:r>
        <w:rPr>
          <w:rFonts w:ascii="Times New Roman" w:hAnsi="Times New Roman" w:cs="Times New Roman"/>
        </w:rPr>
        <w:t xml:space="preserve"> des effets sur l’environnement. </w:t>
      </w:r>
    </w:p>
    <w:p w14:paraId="2271103E" w14:textId="77777777" w:rsidR="00891A59" w:rsidRDefault="00891A59" w:rsidP="00891A59">
      <w:pPr>
        <w:spacing w:line="360" w:lineRule="auto"/>
        <w:jc w:val="both"/>
        <w:rPr>
          <w:rFonts w:ascii="Times New Roman" w:hAnsi="Times New Roman" w:cs="Times New Roman"/>
        </w:rPr>
      </w:pPr>
    </w:p>
    <w:p w14:paraId="4FBD2BAF" w14:textId="5FAEB7CB" w:rsidR="00891A59" w:rsidRDefault="00891A59" w:rsidP="00D3639F">
      <w:pPr>
        <w:widowControl w:val="0"/>
        <w:autoSpaceDE w:val="0"/>
        <w:autoSpaceDN w:val="0"/>
        <w:adjustRightInd w:val="0"/>
        <w:spacing w:line="360" w:lineRule="auto"/>
        <w:ind w:firstLine="708"/>
        <w:jc w:val="both"/>
        <w:rPr>
          <w:rFonts w:ascii="Times New Roman" w:hAnsi="Times New Roman" w:cs="Times New Roman"/>
        </w:rPr>
      </w:pPr>
      <w:r>
        <w:rPr>
          <w:rFonts w:ascii="Times New Roman" w:hAnsi="Times New Roman" w:cs="Times New Roman"/>
        </w:rPr>
        <w:t xml:space="preserve">Il apparaît que l’analyse de la jurisprudence du GATT et de l’OMC permet de savoir dans quelles circonstances il est possible de faire exception aux principes fondamentaux du GATT. L’article XX du GATT </w:t>
      </w:r>
      <w:r w:rsidRPr="008D2D6C">
        <w:rPr>
          <w:rFonts w:ascii="Times New Roman" w:hAnsi="Times New Roman" w:cs="Times New Roman"/>
        </w:rPr>
        <w:t xml:space="preserve">relatif aux exceptions générales prévoit </w:t>
      </w:r>
      <w:r>
        <w:rPr>
          <w:rFonts w:ascii="Times New Roman" w:hAnsi="Times New Roman" w:cs="Times New Roman"/>
        </w:rPr>
        <w:t xml:space="preserve">en effet </w:t>
      </w:r>
      <w:r w:rsidRPr="008D2D6C">
        <w:rPr>
          <w:rFonts w:ascii="Times New Roman" w:hAnsi="Times New Roman" w:cs="Times New Roman"/>
        </w:rPr>
        <w:t>un certain nombre de cas particuliers dans lesquels les Membres de l’OMC peuvent être exemptés des règles du GATT</w:t>
      </w:r>
      <w:r>
        <w:rPr>
          <w:rFonts w:ascii="Times New Roman" w:hAnsi="Times New Roman" w:cs="Times New Roman"/>
        </w:rPr>
        <w:t xml:space="preserve">. Ainsi, en vertu des </w:t>
      </w:r>
      <w:r w:rsidRPr="008D2D6C">
        <w:rPr>
          <w:rFonts w:ascii="Times New Roman" w:hAnsi="Times New Roman" w:cs="Times New Roman"/>
        </w:rPr>
        <w:t xml:space="preserve">paragraphes </w:t>
      </w:r>
      <w:r w:rsidRPr="00B90EC0">
        <w:rPr>
          <w:rFonts w:ascii="Times New Roman" w:hAnsi="Times New Roman" w:cs="Times New Roman"/>
          <w:i/>
        </w:rPr>
        <w:t>b)</w:t>
      </w:r>
      <w:r w:rsidRPr="008D2D6C">
        <w:rPr>
          <w:rFonts w:ascii="Times New Roman" w:hAnsi="Times New Roman" w:cs="Times New Roman"/>
        </w:rPr>
        <w:t xml:space="preserve"> et </w:t>
      </w:r>
      <w:r w:rsidRPr="00B90EC0">
        <w:rPr>
          <w:rFonts w:ascii="Times New Roman" w:hAnsi="Times New Roman" w:cs="Times New Roman"/>
          <w:i/>
        </w:rPr>
        <w:t>g)</w:t>
      </w:r>
      <w:r>
        <w:rPr>
          <w:rFonts w:ascii="Times New Roman" w:hAnsi="Times New Roman" w:cs="Times New Roman"/>
        </w:rPr>
        <w:t xml:space="preserve"> de l’article XX, </w:t>
      </w:r>
      <w:r w:rsidRPr="008D2D6C">
        <w:rPr>
          <w:rFonts w:ascii="Times New Roman" w:hAnsi="Times New Roman" w:cs="Times New Roman"/>
        </w:rPr>
        <w:t>qui constitue</w:t>
      </w:r>
      <w:r>
        <w:rPr>
          <w:rFonts w:ascii="Times New Roman" w:hAnsi="Times New Roman" w:cs="Times New Roman"/>
        </w:rPr>
        <w:t>nt</w:t>
      </w:r>
      <w:r w:rsidRPr="008D2D6C">
        <w:rPr>
          <w:rFonts w:ascii="Times New Roman" w:hAnsi="Times New Roman" w:cs="Times New Roman"/>
        </w:rPr>
        <w:t xml:space="preserve"> deux exceptions se rapportant à la protection de l’environnement, les Membres de l’OMC sont autorisés à adopter des mesures incompatibles avec les règles du GATT </w:t>
      </w:r>
      <w:r>
        <w:rPr>
          <w:rFonts w:ascii="Times New Roman" w:hAnsi="Times New Roman" w:cs="Times New Roman"/>
        </w:rPr>
        <w:t xml:space="preserve">mais qui se révèlent </w:t>
      </w:r>
      <w:r w:rsidRPr="008D2D6C">
        <w:rPr>
          <w:rFonts w:ascii="Times New Roman" w:hAnsi="Times New Roman" w:cs="Times New Roman"/>
        </w:rPr>
        <w:t xml:space="preserve">nécessaires à la protection de la santé et de la vie des personnes et des animaux ou à la préservation </w:t>
      </w:r>
      <w:r>
        <w:rPr>
          <w:rFonts w:ascii="Times New Roman" w:hAnsi="Times New Roman" w:cs="Times New Roman"/>
        </w:rPr>
        <w:t xml:space="preserve">des végétaux (paragraphe </w:t>
      </w:r>
      <w:r w:rsidRPr="00B90EC0">
        <w:rPr>
          <w:rFonts w:ascii="Times New Roman" w:hAnsi="Times New Roman" w:cs="Times New Roman"/>
          <w:i/>
        </w:rPr>
        <w:t>b)</w:t>
      </w:r>
      <w:r>
        <w:rPr>
          <w:rFonts w:ascii="Times New Roman" w:hAnsi="Times New Roman" w:cs="Times New Roman"/>
        </w:rPr>
        <w:t xml:space="preserve">), ou qui se </w:t>
      </w:r>
      <w:r w:rsidRPr="008D2D6C">
        <w:rPr>
          <w:rFonts w:ascii="Times New Roman" w:hAnsi="Times New Roman" w:cs="Times New Roman"/>
        </w:rPr>
        <w:t>rapportent à la conservation des re</w:t>
      </w:r>
      <w:r>
        <w:rPr>
          <w:rFonts w:ascii="Times New Roman" w:hAnsi="Times New Roman" w:cs="Times New Roman"/>
        </w:rPr>
        <w:t xml:space="preserve">ssources naturelles épuisables (paragraphe </w:t>
      </w:r>
      <w:r w:rsidRPr="00B90EC0">
        <w:rPr>
          <w:rFonts w:ascii="Times New Roman" w:hAnsi="Times New Roman" w:cs="Times New Roman"/>
          <w:i/>
        </w:rPr>
        <w:t>g)</w:t>
      </w:r>
      <w:r>
        <w:rPr>
          <w:rFonts w:ascii="Times New Roman" w:hAnsi="Times New Roman" w:cs="Times New Roman"/>
        </w:rPr>
        <w:t>)</w:t>
      </w:r>
      <w:r>
        <w:rPr>
          <w:rStyle w:val="Marquenotebasdepage"/>
          <w:rFonts w:ascii="Times New Roman" w:hAnsi="Times New Roman" w:cs="Times New Roman"/>
        </w:rPr>
        <w:footnoteReference w:id="536"/>
      </w:r>
      <w:r>
        <w:rPr>
          <w:rFonts w:ascii="Times New Roman" w:hAnsi="Times New Roman" w:cs="Times New Roman"/>
        </w:rPr>
        <w:t xml:space="preserve">. L’analyse de cet article à travers les affaires </w:t>
      </w:r>
      <w:r w:rsidRPr="00385484">
        <w:rPr>
          <w:rFonts w:ascii="Times New Roman" w:hAnsi="Times New Roman" w:cs="Times New Roman"/>
          <w:i/>
        </w:rPr>
        <w:t>Thon 1982</w:t>
      </w:r>
      <w:r>
        <w:rPr>
          <w:rFonts w:ascii="Times New Roman" w:hAnsi="Times New Roman" w:cs="Times New Roman"/>
        </w:rPr>
        <w:t xml:space="preserve">, </w:t>
      </w:r>
      <w:r w:rsidRPr="00385484">
        <w:rPr>
          <w:rFonts w:ascii="Times New Roman" w:hAnsi="Times New Roman" w:cs="Times New Roman"/>
          <w:i/>
        </w:rPr>
        <w:t>Thon I</w:t>
      </w:r>
      <w:r>
        <w:rPr>
          <w:rFonts w:ascii="Times New Roman" w:hAnsi="Times New Roman" w:cs="Times New Roman"/>
        </w:rPr>
        <w:t xml:space="preserve"> et </w:t>
      </w:r>
      <w:r w:rsidRPr="00385484">
        <w:rPr>
          <w:rFonts w:ascii="Times New Roman" w:hAnsi="Times New Roman" w:cs="Times New Roman"/>
          <w:i/>
        </w:rPr>
        <w:t>II</w:t>
      </w:r>
      <w:r>
        <w:rPr>
          <w:rFonts w:ascii="Times New Roman" w:hAnsi="Times New Roman" w:cs="Times New Roman"/>
        </w:rPr>
        <w:t xml:space="preserve">, </w:t>
      </w:r>
      <w:r w:rsidRPr="00385484">
        <w:rPr>
          <w:rFonts w:ascii="Times New Roman" w:hAnsi="Times New Roman" w:cs="Times New Roman"/>
          <w:i/>
        </w:rPr>
        <w:t>Cigarettes</w:t>
      </w:r>
      <w:r>
        <w:rPr>
          <w:rFonts w:ascii="Times New Roman" w:hAnsi="Times New Roman" w:cs="Times New Roman"/>
        </w:rPr>
        <w:t xml:space="preserve">, </w:t>
      </w:r>
      <w:r w:rsidRPr="00385484">
        <w:rPr>
          <w:rFonts w:ascii="Times New Roman" w:hAnsi="Times New Roman" w:cs="Times New Roman"/>
          <w:i/>
        </w:rPr>
        <w:t>Saumons/Harengs</w:t>
      </w:r>
      <w:r>
        <w:rPr>
          <w:rFonts w:ascii="Times New Roman" w:hAnsi="Times New Roman" w:cs="Times New Roman"/>
        </w:rPr>
        <w:t xml:space="preserve">, </w:t>
      </w:r>
      <w:r w:rsidRPr="00385484">
        <w:rPr>
          <w:rFonts w:ascii="Times New Roman" w:hAnsi="Times New Roman" w:cs="Times New Roman"/>
          <w:i/>
        </w:rPr>
        <w:t>Essence</w:t>
      </w:r>
      <w:r w:rsidR="00C14253">
        <w:rPr>
          <w:rFonts w:ascii="Times New Roman" w:hAnsi="Times New Roman" w:cs="Times New Roman"/>
        </w:rPr>
        <w:t xml:space="preserve"> , </w:t>
      </w:r>
      <w:r w:rsidRPr="00385484">
        <w:rPr>
          <w:rFonts w:ascii="Times New Roman" w:hAnsi="Times New Roman" w:cs="Times New Roman"/>
          <w:i/>
        </w:rPr>
        <w:t>Crevettes</w:t>
      </w:r>
      <w:r>
        <w:rPr>
          <w:rFonts w:ascii="Times New Roman" w:hAnsi="Times New Roman" w:cs="Times New Roman"/>
        </w:rPr>
        <w:t xml:space="preserve"> </w:t>
      </w:r>
      <w:r w:rsidR="00C14253">
        <w:rPr>
          <w:rFonts w:ascii="Times New Roman" w:hAnsi="Times New Roman" w:cs="Times New Roman"/>
        </w:rPr>
        <w:t xml:space="preserve">et </w:t>
      </w:r>
      <w:r w:rsidR="00C14253" w:rsidRPr="00C14253">
        <w:rPr>
          <w:rFonts w:ascii="Times New Roman" w:hAnsi="Times New Roman" w:cs="Times New Roman"/>
          <w:i/>
        </w:rPr>
        <w:t>Amiante</w:t>
      </w:r>
      <w:r w:rsidR="00C14253">
        <w:rPr>
          <w:rFonts w:ascii="Times New Roman" w:hAnsi="Times New Roman" w:cs="Times New Roman"/>
        </w:rPr>
        <w:t xml:space="preserve"> </w:t>
      </w:r>
      <w:r>
        <w:rPr>
          <w:rFonts w:ascii="Times New Roman" w:hAnsi="Times New Roman" w:cs="Times New Roman"/>
        </w:rPr>
        <w:t>a permis de prendre connaissance de la position de l’OMC sur la question du protectionnisme déguisé dans sa composante environnementale.</w:t>
      </w:r>
      <w:r w:rsidR="00F574B4">
        <w:rPr>
          <w:rFonts w:ascii="Times New Roman" w:hAnsi="Times New Roman" w:cs="Times New Roman"/>
        </w:rPr>
        <w:t xml:space="preserve"> </w:t>
      </w:r>
    </w:p>
    <w:p w14:paraId="4F37AC27" w14:textId="77777777" w:rsidR="0048705F" w:rsidRDefault="0048705F" w:rsidP="00F574B4">
      <w:pPr>
        <w:widowControl w:val="0"/>
        <w:autoSpaceDE w:val="0"/>
        <w:autoSpaceDN w:val="0"/>
        <w:adjustRightInd w:val="0"/>
        <w:spacing w:line="360" w:lineRule="auto"/>
        <w:jc w:val="both"/>
        <w:rPr>
          <w:rFonts w:ascii="Times New Roman" w:hAnsi="Times New Roman" w:cs="Times New Roman"/>
        </w:rPr>
      </w:pPr>
    </w:p>
    <w:p w14:paraId="25D42551" w14:textId="77777777" w:rsidR="0048705F" w:rsidRPr="00F574B4" w:rsidRDefault="0048705F" w:rsidP="00F574B4">
      <w:pPr>
        <w:widowControl w:val="0"/>
        <w:autoSpaceDE w:val="0"/>
        <w:autoSpaceDN w:val="0"/>
        <w:adjustRightInd w:val="0"/>
        <w:spacing w:line="360" w:lineRule="auto"/>
        <w:jc w:val="both"/>
        <w:rPr>
          <w:rFonts w:ascii="Times New Roman" w:hAnsi="Times New Roman" w:cs="Times New Roman"/>
        </w:rPr>
      </w:pPr>
    </w:p>
    <w:p w14:paraId="3D7B67CF" w14:textId="77777777" w:rsidR="00F574B4" w:rsidRDefault="00F574B4" w:rsidP="00891A59"/>
    <w:p w14:paraId="37EA4917" w14:textId="77777777" w:rsidR="00F574B4" w:rsidRDefault="00F574B4" w:rsidP="00891A59"/>
    <w:p w14:paraId="3202BE17" w14:textId="77777777" w:rsidR="00F574B4" w:rsidRDefault="00F574B4" w:rsidP="00891A59"/>
    <w:p w14:paraId="2E433DD1" w14:textId="77777777" w:rsidR="00F574B4" w:rsidRDefault="00F574B4" w:rsidP="00891A59"/>
    <w:p w14:paraId="258AB570" w14:textId="77777777" w:rsidR="00570190" w:rsidRDefault="00570190" w:rsidP="00891A59"/>
    <w:p w14:paraId="555F5990" w14:textId="77777777" w:rsidR="00570190" w:rsidRDefault="00570190" w:rsidP="00891A59"/>
    <w:p w14:paraId="45FBC06B" w14:textId="77777777" w:rsidR="00570190" w:rsidRDefault="00570190" w:rsidP="00891A59"/>
    <w:p w14:paraId="66119598" w14:textId="77777777" w:rsidR="00570190" w:rsidRDefault="00570190" w:rsidP="00891A59"/>
    <w:p w14:paraId="0CF44218" w14:textId="77777777" w:rsidR="00570190" w:rsidRDefault="00570190" w:rsidP="00891A59"/>
    <w:p w14:paraId="11983F01" w14:textId="77777777" w:rsidR="00570190" w:rsidRDefault="00570190" w:rsidP="00891A59"/>
    <w:p w14:paraId="18B5CA41" w14:textId="77777777" w:rsidR="00570190" w:rsidRDefault="00570190" w:rsidP="00891A59"/>
    <w:p w14:paraId="111CDEA2" w14:textId="77777777" w:rsidR="00570190" w:rsidRDefault="00570190" w:rsidP="00891A59"/>
    <w:p w14:paraId="1B95971D" w14:textId="77777777" w:rsidR="00570190" w:rsidRDefault="00570190" w:rsidP="00891A59"/>
    <w:p w14:paraId="54D2F818" w14:textId="77777777" w:rsidR="00570190" w:rsidRDefault="00570190" w:rsidP="00891A59"/>
    <w:p w14:paraId="3C849247" w14:textId="77777777" w:rsidR="00570190" w:rsidRDefault="00570190" w:rsidP="00891A59"/>
    <w:p w14:paraId="44EC744D" w14:textId="77777777" w:rsidR="00570190" w:rsidRDefault="00570190" w:rsidP="00891A59"/>
    <w:p w14:paraId="3E3684E4" w14:textId="77777777" w:rsidR="00570190" w:rsidRDefault="00570190" w:rsidP="00891A59"/>
    <w:p w14:paraId="4C94ED47" w14:textId="77777777" w:rsidR="00570190" w:rsidRDefault="00570190" w:rsidP="00891A59"/>
    <w:p w14:paraId="085F9D74" w14:textId="77777777" w:rsidR="00570190" w:rsidRDefault="00570190" w:rsidP="00891A59"/>
    <w:p w14:paraId="57282AC1" w14:textId="77777777" w:rsidR="00570190" w:rsidRDefault="00570190" w:rsidP="00891A59"/>
    <w:p w14:paraId="3AFD101F" w14:textId="77777777" w:rsidR="00570190" w:rsidRDefault="00570190" w:rsidP="00891A59"/>
    <w:p w14:paraId="19603F38" w14:textId="77777777" w:rsidR="00570190" w:rsidRDefault="00570190" w:rsidP="00891A59"/>
    <w:p w14:paraId="1C660589" w14:textId="77777777" w:rsidR="00570190" w:rsidRDefault="00570190" w:rsidP="00891A59"/>
    <w:p w14:paraId="10EF2978" w14:textId="77777777" w:rsidR="00570190" w:rsidRDefault="00570190" w:rsidP="00891A59"/>
    <w:p w14:paraId="4216AC1F" w14:textId="77777777" w:rsidR="00570190" w:rsidRDefault="00570190" w:rsidP="00891A59"/>
    <w:p w14:paraId="7AD5FEB2" w14:textId="77777777" w:rsidR="00570190" w:rsidRDefault="00570190" w:rsidP="00891A59"/>
    <w:p w14:paraId="4BA4E86C" w14:textId="77777777" w:rsidR="00570190" w:rsidRDefault="00570190" w:rsidP="00891A59"/>
    <w:p w14:paraId="68BBD6FC" w14:textId="77777777" w:rsidR="005354AF" w:rsidRDefault="005354AF" w:rsidP="00891A59"/>
    <w:p w14:paraId="0933685A" w14:textId="77777777" w:rsidR="005354AF" w:rsidRDefault="005354AF" w:rsidP="00891A59"/>
    <w:p w14:paraId="14370044" w14:textId="77777777" w:rsidR="005354AF" w:rsidRDefault="005354AF" w:rsidP="00891A59"/>
    <w:p w14:paraId="1D11F3B1" w14:textId="77777777" w:rsidR="005354AF" w:rsidRDefault="005354AF" w:rsidP="00891A59"/>
    <w:p w14:paraId="54BE8F9D" w14:textId="77777777" w:rsidR="005354AF" w:rsidRDefault="005354AF" w:rsidP="00891A59"/>
    <w:p w14:paraId="2D984A5C" w14:textId="77777777" w:rsidR="005354AF" w:rsidRDefault="005354AF" w:rsidP="00891A59"/>
    <w:p w14:paraId="46697A79" w14:textId="77777777" w:rsidR="005354AF" w:rsidRDefault="005354AF" w:rsidP="00891A59"/>
    <w:p w14:paraId="578C3FA2" w14:textId="77777777" w:rsidR="005354AF" w:rsidRDefault="005354AF" w:rsidP="00891A59"/>
    <w:p w14:paraId="3A721539" w14:textId="77777777" w:rsidR="005354AF" w:rsidRDefault="005354AF" w:rsidP="00891A59"/>
    <w:p w14:paraId="45A510B6" w14:textId="77777777" w:rsidR="005354AF" w:rsidRDefault="005354AF" w:rsidP="00891A59"/>
    <w:p w14:paraId="687EEA42" w14:textId="77777777" w:rsidR="005354AF" w:rsidRDefault="005354AF" w:rsidP="00891A59"/>
    <w:p w14:paraId="67EDE581" w14:textId="77777777" w:rsidR="005354AF" w:rsidRDefault="005354AF" w:rsidP="00891A59"/>
    <w:p w14:paraId="2C8A658C" w14:textId="77777777" w:rsidR="005354AF" w:rsidRDefault="005354AF" w:rsidP="00891A59"/>
    <w:p w14:paraId="546683F9" w14:textId="77777777" w:rsidR="005354AF" w:rsidRDefault="005354AF" w:rsidP="00891A59"/>
    <w:p w14:paraId="7BE1D8AC" w14:textId="77777777" w:rsidR="005354AF" w:rsidRDefault="005354AF" w:rsidP="00891A59"/>
    <w:p w14:paraId="224229EF" w14:textId="77777777" w:rsidR="005354AF" w:rsidRDefault="005354AF" w:rsidP="00891A59"/>
    <w:p w14:paraId="7A3C7168" w14:textId="77777777" w:rsidR="00C14253" w:rsidRDefault="00C14253" w:rsidP="00891A59"/>
    <w:p w14:paraId="5F4F7B95" w14:textId="77777777" w:rsidR="005354AF" w:rsidRDefault="005354AF" w:rsidP="00891A59"/>
    <w:p w14:paraId="107548E9" w14:textId="77777777" w:rsidR="00570190" w:rsidRDefault="00570190" w:rsidP="00891A59"/>
    <w:p w14:paraId="7E7AC5AB" w14:textId="77777777" w:rsidR="00570190" w:rsidRDefault="00570190" w:rsidP="00891A59"/>
    <w:p w14:paraId="44E0869D" w14:textId="77777777" w:rsidR="006A3458" w:rsidRPr="00277321" w:rsidRDefault="006A3458" w:rsidP="006A3458">
      <w:pPr>
        <w:jc w:val="center"/>
        <w:rPr>
          <w:rFonts w:ascii="Times New Roman" w:hAnsi="Times New Roman" w:cs="Times New Roman"/>
          <w:smallCaps/>
          <w:sz w:val="32"/>
          <w:szCs w:val="32"/>
        </w:rPr>
      </w:pPr>
      <w:r w:rsidRPr="00277321">
        <w:rPr>
          <w:rFonts w:ascii="Times New Roman" w:hAnsi="Times New Roman" w:cs="Times New Roman"/>
          <w:smallCaps/>
          <w:sz w:val="32"/>
          <w:szCs w:val="32"/>
          <w:u w:val="single"/>
        </w:rPr>
        <w:t>Bibliographie</w:t>
      </w:r>
    </w:p>
    <w:p w14:paraId="74990701" w14:textId="77777777" w:rsidR="006A3458" w:rsidRPr="005D6868" w:rsidRDefault="006A3458" w:rsidP="006A3458">
      <w:pPr>
        <w:jc w:val="both"/>
        <w:rPr>
          <w:rFonts w:ascii="Times New Roman" w:hAnsi="Times New Roman" w:cs="Times New Roman"/>
          <w:smallCaps/>
        </w:rPr>
      </w:pPr>
    </w:p>
    <w:p w14:paraId="2DAEA6A1" w14:textId="77777777" w:rsidR="006A3458" w:rsidRPr="005D6868" w:rsidRDefault="006A3458" w:rsidP="006A3458">
      <w:pPr>
        <w:rPr>
          <w:rFonts w:ascii="Times New Roman" w:hAnsi="Times New Roman" w:cs="Times New Roman"/>
        </w:rPr>
      </w:pPr>
    </w:p>
    <w:p w14:paraId="203B2C4E" w14:textId="77777777" w:rsidR="006A3458" w:rsidRPr="005D6868" w:rsidRDefault="006A3458" w:rsidP="006A3458">
      <w:pPr>
        <w:jc w:val="both"/>
        <w:rPr>
          <w:rFonts w:ascii="Times New Roman" w:hAnsi="Times New Roman" w:cs="Times New Roman"/>
          <w:smallCaps/>
          <w:u w:val="single"/>
        </w:rPr>
      </w:pPr>
      <w:r w:rsidRPr="005D6868">
        <w:rPr>
          <w:rFonts w:ascii="Times New Roman" w:hAnsi="Times New Roman" w:cs="Times New Roman"/>
          <w:smallCaps/>
          <w:u w:val="single"/>
        </w:rPr>
        <w:t xml:space="preserve">I. Législations </w:t>
      </w:r>
    </w:p>
    <w:p w14:paraId="191F808F" w14:textId="77777777" w:rsidR="006A3458" w:rsidRPr="005D6868" w:rsidRDefault="006A3458" w:rsidP="006A3458">
      <w:pPr>
        <w:jc w:val="both"/>
        <w:rPr>
          <w:rFonts w:ascii="Times New Roman" w:hAnsi="Times New Roman" w:cs="Times New Roman"/>
        </w:rPr>
      </w:pPr>
    </w:p>
    <w:p w14:paraId="6893A7B7" w14:textId="68AD9A62" w:rsidR="006A3458" w:rsidRPr="005D6868" w:rsidRDefault="006A3458" w:rsidP="006A3458">
      <w:pPr>
        <w:jc w:val="both"/>
        <w:rPr>
          <w:rFonts w:ascii="Times New Roman" w:hAnsi="Times New Roman" w:cs="Times New Roman"/>
        </w:rPr>
      </w:pPr>
      <w:r w:rsidRPr="005D6868">
        <w:rPr>
          <w:rFonts w:ascii="Times New Roman" w:hAnsi="Times New Roman" w:cs="Times New Roman"/>
        </w:rPr>
        <w:t>Accord de Marrakech instituant l’Organisation mondiale du commerce, 15 avril 1994, entrée en vigueur le 1 janvier 1995, annexe I.</w:t>
      </w:r>
    </w:p>
    <w:p w14:paraId="03961969" w14:textId="77777777" w:rsidR="006A3458" w:rsidRPr="005D6868" w:rsidRDefault="006A3458" w:rsidP="006A3458">
      <w:pPr>
        <w:jc w:val="both"/>
        <w:rPr>
          <w:rFonts w:ascii="Times New Roman" w:hAnsi="Times New Roman" w:cs="Times New Roman"/>
        </w:rPr>
      </w:pPr>
    </w:p>
    <w:p w14:paraId="78CA0AE8" w14:textId="339035BE" w:rsidR="00080648" w:rsidRPr="005D6868" w:rsidRDefault="006A3458" w:rsidP="00080648">
      <w:pPr>
        <w:jc w:val="both"/>
        <w:rPr>
          <w:rFonts w:ascii="Times New Roman" w:hAnsi="Times New Roman" w:cs="Times New Roman"/>
        </w:rPr>
      </w:pPr>
      <w:r w:rsidRPr="005D6868">
        <w:rPr>
          <w:rFonts w:ascii="Times New Roman" w:hAnsi="Times New Roman" w:cs="Times New Roman"/>
        </w:rPr>
        <w:t>Annexe I de l’Accord de Marrakech instituant l’Organisation mondiale du commerce, 15 avril 1994, entrée en v</w:t>
      </w:r>
      <w:r w:rsidR="00570190" w:rsidRPr="005D6868">
        <w:rPr>
          <w:rFonts w:ascii="Times New Roman" w:hAnsi="Times New Roman" w:cs="Times New Roman"/>
        </w:rPr>
        <w:t>igueur le 1 janvier 1995.</w:t>
      </w:r>
      <w:r w:rsidR="00080648" w:rsidRPr="005D6868">
        <w:rPr>
          <w:rFonts w:ascii="Times New Roman" w:hAnsi="Times New Roman" w:cs="Times New Roman"/>
        </w:rPr>
        <w:t xml:space="preserve">  (Accord sur les tarifs douaniers et le commerce (GATT), 15 avril 1994, entrée en vigueur le 1</w:t>
      </w:r>
      <w:r w:rsidR="00080648" w:rsidRPr="005D6868">
        <w:rPr>
          <w:rFonts w:ascii="Times New Roman" w:hAnsi="Times New Roman" w:cs="Times New Roman"/>
          <w:vertAlign w:val="superscript"/>
        </w:rPr>
        <w:t>er</w:t>
      </w:r>
      <w:r w:rsidR="00080648" w:rsidRPr="005D6868">
        <w:rPr>
          <w:rFonts w:ascii="Times New Roman" w:hAnsi="Times New Roman" w:cs="Times New Roman"/>
        </w:rPr>
        <w:t xml:space="preserve"> janvier 1995)</w:t>
      </w:r>
    </w:p>
    <w:p w14:paraId="33A32988" w14:textId="77777777" w:rsidR="00080648" w:rsidRPr="005D6868" w:rsidRDefault="00080648" w:rsidP="006A3458">
      <w:pPr>
        <w:jc w:val="both"/>
        <w:rPr>
          <w:rFonts w:ascii="Times New Roman" w:hAnsi="Times New Roman" w:cs="Times New Roman"/>
        </w:rPr>
      </w:pPr>
    </w:p>
    <w:p w14:paraId="157D08DF" w14:textId="77777777" w:rsidR="00080648" w:rsidRPr="005D6868" w:rsidRDefault="00080648" w:rsidP="006A3458">
      <w:pPr>
        <w:jc w:val="both"/>
        <w:rPr>
          <w:rFonts w:ascii="Times New Roman" w:hAnsi="Times New Roman" w:cs="Times New Roman"/>
        </w:rPr>
      </w:pPr>
    </w:p>
    <w:p w14:paraId="4D6B7917" w14:textId="3BE4F60A" w:rsidR="00570190" w:rsidRPr="005D6868" w:rsidRDefault="00080648" w:rsidP="006A3458">
      <w:pPr>
        <w:jc w:val="both"/>
        <w:rPr>
          <w:rFonts w:ascii="Times New Roman" w:hAnsi="Times New Roman" w:cs="Times New Roman"/>
        </w:rPr>
      </w:pPr>
      <w:r w:rsidRPr="005D6868">
        <w:rPr>
          <w:rFonts w:ascii="Times New Roman" w:hAnsi="Times New Roman" w:cs="Times New Roman"/>
        </w:rPr>
        <w:t>Accord sur l'application des mesures sanitaires et phytosanitaires, annexe 1 A de l'Accord de Marrakech instituant l'OMC.</w:t>
      </w:r>
    </w:p>
    <w:p w14:paraId="2822AED5" w14:textId="77777777" w:rsidR="00080648" w:rsidRPr="005D6868" w:rsidRDefault="00080648" w:rsidP="006A3458">
      <w:pPr>
        <w:jc w:val="both"/>
        <w:rPr>
          <w:rFonts w:ascii="Times New Roman" w:hAnsi="Times New Roman" w:cs="Times New Roman"/>
        </w:rPr>
      </w:pPr>
    </w:p>
    <w:p w14:paraId="5599F11A" w14:textId="19D94C9B" w:rsidR="00080648" w:rsidRPr="005D6868" w:rsidRDefault="00080648" w:rsidP="006A3458">
      <w:pPr>
        <w:jc w:val="both"/>
        <w:rPr>
          <w:rFonts w:ascii="Times New Roman" w:hAnsi="Times New Roman" w:cs="Times New Roman"/>
        </w:rPr>
      </w:pPr>
      <w:r w:rsidRPr="005D6868">
        <w:rPr>
          <w:rFonts w:ascii="Times New Roman" w:hAnsi="Times New Roman" w:cs="Times New Roman"/>
        </w:rPr>
        <w:t>Mémorandum d'accord sur les règles et procédures régissant le règlement des différends, Annexe 2 de l'Accord de Marrakech instituant l'OMC.</w:t>
      </w:r>
    </w:p>
    <w:p w14:paraId="791FE152" w14:textId="77777777" w:rsidR="00080648" w:rsidRPr="005D6868" w:rsidRDefault="00080648" w:rsidP="006A3458">
      <w:pPr>
        <w:jc w:val="both"/>
        <w:rPr>
          <w:rFonts w:ascii="Times New Roman" w:hAnsi="Times New Roman" w:cs="Times New Roman"/>
        </w:rPr>
      </w:pPr>
    </w:p>
    <w:p w14:paraId="4C8A7E1D" w14:textId="77777777" w:rsidR="00080648" w:rsidRPr="005D6868" w:rsidRDefault="00080648" w:rsidP="00080648">
      <w:pPr>
        <w:tabs>
          <w:tab w:val="left" w:pos="3854"/>
        </w:tabs>
        <w:rPr>
          <w:rFonts w:ascii="Times New Roman" w:hAnsi="Times New Roman" w:cs="Times New Roman"/>
        </w:rPr>
      </w:pPr>
      <w:r w:rsidRPr="005D6868">
        <w:rPr>
          <w:rFonts w:ascii="Times New Roman" w:hAnsi="Times New Roman" w:cs="Times New Roman"/>
        </w:rPr>
        <w:t>La convention sur le commerce international des espèces de faune et de flore sauvages menacées d'extinction, 3 mars 1973, entrée en vigueur 1</w:t>
      </w:r>
      <w:r w:rsidRPr="005D6868">
        <w:rPr>
          <w:rFonts w:ascii="Times New Roman" w:hAnsi="Times New Roman" w:cs="Times New Roman"/>
          <w:vertAlign w:val="superscript"/>
        </w:rPr>
        <w:t>er</w:t>
      </w:r>
      <w:r w:rsidRPr="005D6868">
        <w:rPr>
          <w:rFonts w:ascii="Times New Roman" w:hAnsi="Times New Roman" w:cs="Times New Roman"/>
        </w:rPr>
        <w:t xml:space="preserve"> janvier 1975.</w:t>
      </w:r>
    </w:p>
    <w:p w14:paraId="4177742B" w14:textId="77777777" w:rsidR="00080648" w:rsidRPr="005D6868" w:rsidRDefault="00080648" w:rsidP="00080648">
      <w:pPr>
        <w:tabs>
          <w:tab w:val="left" w:pos="3854"/>
        </w:tabs>
        <w:rPr>
          <w:rFonts w:ascii="Times New Roman" w:hAnsi="Times New Roman" w:cs="Times New Roman"/>
        </w:rPr>
      </w:pPr>
    </w:p>
    <w:p w14:paraId="7085E0FC" w14:textId="7A115373" w:rsidR="00080648" w:rsidRPr="005D6868" w:rsidRDefault="00080648" w:rsidP="00080648">
      <w:pPr>
        <w:tabs>
          <w:tab w:val="left" w:pos="3854"/>
        </w:tabs>
        <w:rPr>
          <w:rFonts w:ascii="Times New Roman" w:hAnsi="Times New Roman" w:cs="Times New Roman"/>
        </w:rPr>
      </w:pPr>
      <w:r w:rsidRPr="005D6868">
        <w:rPr>
          <w:rFonts w:ascii="Times New Roman" w:hAnsi="Times New Roman" w:cs="Times New Roman"/>
        </w:rPr>
        <w:t>Accord sur les obstacles techniques au commerce, entré en vigueur le 1</w:t>
      </w:r>
      <w:r w:rsidRPr="005D6868">
        <w:rPr>
          <w:rFonts w:ascii="Times New Roman" w:hAnsi="Times New Roman" w:cs="Times New Roman"/>
          <w:vertAlign w:val="superscript"/>
        </w:rPr>
        <w:t>er</w:t>
      </w:r>
      <w:r w:rsidRPr="005D6868">
        <w:rPr>
          <w:rFonts w:ascii="Times New Roman" w:hAnsi="Times New Roman" w:cs="Times New Roman"/>
        </w:rPr>
        <w:t xml:space="preserve"> janvier 1995.</w:t>
      </w:r>
    </w:p>
    <w:p w14:paraId="57140DE2" w14:textId="77777777" w:rsidR="00080648" w:rsidRPr="005D6868" w:rsidRDefault="00080648" w:rsidP="006A3458">
      <w:pPr>
        <w:jc w:val="both"/>
        <w:rPr>
          <w:rFonts w:ascii="Times New Roman" w:hAnsi="Times New Roman" w:cs="Times New Roman"/>
        </w:rPr>
      </w:pPr>
    </w:p>
    <w:p w14:paraId="750DDBC2" w14:textId="77777777" w:rsidR="006A3458" w:rsidRPr="005D6868" w:rsidRDefault="006A3458" w:rsidP="006A3458">
      <w:pPr>
        <w:jc w:val="both"/>
        <w:rPr>
          <w:rFonts w:ascii="Times New Roman" w:hAnsi="Times New Roman" w:cs="Times New Roman"/>
        </w:rPr>
      </w:pPr>
    </w:p>
    <w:p w14:paraId="3F386722" w14:textId="77777777" w:rsidR="006A3458" w:rsidRPr="005D6868" w:rsidRDefault="006A3458" w:rsidP="006A3458">
      <w:pPr>
        <w:jc w:val="both"/>
        <w:rPr>
          <w:rFonts w:ascii="Times New Roman" w:hAnsi="Times New Roman" w:cs="Times New Roman"/>
        </w:rPr>
      </w:pPr>
    </w:p>
    <w:p w14:paraId="71D948BC" w14:textId="77777777" w:rsidR="006A3458" w:rsidRPr="005D6868" w:rsidRDefault="006A3458" w:rsidP="006A3458">
      <w:pPr>
        <w:jc w:val="both"/>
        <w:rPr>
          <w:rFonts w:ascii="Times New Roman" w:hAnsi="Times New Roman" w:cs="Times New Roman"/>
          <w:smallCaps/>
          <w:u w:val="single"/>
        </w:rPr>
      </w:pPr>
      <w:r w:rsidRPr="005D6868">
        <w:rPr>
          <w:rFonts w:ascii="Times New Roman" w:hAnsi="Times New Roman" w:cs="Times New Roman"/>
          <w:smallCaps/>
          <w:u w:val="single"/>
        </w:rPr>
        <w:t>II. Doctrines</w:t>
      </w:r>
    </w:p>
    <w:p w14:paraId="37C835C8" w14:textId="77777777" w:rsidR="006A3458" w:rsidRPr="005D6868" w:rsidRDefault="006A3458" w:rsidP="006A3458">
      <w:pPr>
        <w:jc w:val="both"/>
        <w:rPr>
          <w:rFonts w:ascii="Times New Roman" w:hAnsi="Times New Roman" w:cs="Times New Roman"/>
        </w:rPr>
      </w:pPr>
    </w:p>
    <w:p w14:paraId="16C3F946"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smallCaps/>
        </w:rPr>
        <w:t>Amat, J.-P., Benest, G., Hotyat, M.,</w:t>
      </w:r>
      <w:r w:rsidRPr="005D6868">
        <w:rPr>
          <w:rFonts w:ascii="Times New Roman" w:hAnsi="Times New Roman" w:cs="Times New Roman"/>
        </w:rPr>
        <w:t xml:space="preserve"> </w:t>
      </w:r>
      <w:r w:rsidRPr="005D6868">
        <w:rPr>
          <w:rFonts w:ascii="Times New Roman" w:hAnsi="Times New Roman" w:cs="Times New Roman"/>
          <w:i/>
        </w:rPr>
        <w:t>Mondialisation et environnement</w:t>
      </w:r>
      <w:r w:rsidRPr="005D6868">
        <w:rPr>
          <w:rFonts w:ascii="Times New Roman" w:hAnsi="Times New Roman" w:cs="Times New Roman"/>
        </w:rPr>
        <w:t xml:space="preserve">, Paris, Ellipses, 2009. </w:t>
      </w:r>
    </w:p>
    <w:p w14:paraId="773EAE12" w14:textId="77777777" w:rsidR="006A3458" w:rsidRPr="005D6868" w:rsidRDefault="006A3458" w:rsidP="00570190">
      <w:pPr>
        <w:spacing w:line="276" w:lineRule="auto"/>
        <w:jc w:val="both"/>
        <w:rPr>
          <w:rFonts w:ascii="Times New Roman" w:hAnsi="Times New Roman" w:cs="Times New Roman"/>
        </w:rPr>
      </w:pPr>
    </w:p>
    <w:p w14:paraId="3AA8D8DB" w14:textId="77777777" w:rsidR="006A3458" w:rsidRPr="005D6868" w:rsidRDefault="006A3458" w:rsidP="00570190">
      <w:pPr>
        <w:spacing w:line="276" w:lineRule="auto"/>
        <w:jc w:val="both"/>
        <w:rPr>
          <w:rFonts w:ascii="Times New Roman" w:hAnsi="Times New Roman" w:cs="Times New Roman"/>
          <w:lang w:val="en-US"/>
        </w:rPr>
      </w:pPr>
      <w:r w:rsidRPr="005D6868">
        <w:rPr>
          <w:rFonts w:ascii="Times New Roman" w:hAnsi="Times New Roman" w:cs="Times New Roman"/>
          <w:lang w:val="en-US"/>
        </w:rPr>
        <w:t>Appellate body secretariat, WTO Appellate Body Repertory of Reports and Awards, 1995-2006, Cambridge, Cambridge Press University, 3</w:t>
      </w:r>
      <w:r w:rsidRPr="005D6868">
        <w:rPr>
          <w:rFonts w:ascii="Times New Roman" w:hAnsi="Times New Roman" w:cs="Times New Roman"/>
          <w:vertAlign w:val="superscript"/>
          <w:lang w:val="en-US"/>
        </w:rPr>
        <w:t>e</w:t>
      </w:r>
      <w:r w:rsidRPr="005D6868">
        <w:rPr>
          <w:rFonts w:ascii="Times New Roman" w:hAnsi="Times New Roman" w:cs="Times New Roman"/>
          <w:lang w:val="en-US"/>
        </w:rPr>
        <w:t xml:space="preserve"> edition, 2007.</w:t>
      </w:r>
    </w:p>
    <w:p w14:paraId="7A942E2F" w14:textId="77777777" w:rsidR="006A3458" w:rsidRPr="005D6868" w:rsidRDefault="006A3458" w:rsidP="00570190">
      <w:pPr>
        <w:spacing w:line="276" w:lineRule="auto"/>
        <w:jc w:val="both"/>
        <w:rPr>
          <w:rFonts w:ascii="Times New Roman" w:hAnsi="Times New Roman" w:cs="Times New Roman"/>
          <w:lang w:val="en-US"/>
        </w:rPr>
      </w:pPr>
    </w:p>
    <w:p w14:paraId="21BCBF1B"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smallCaps/>
        </w:rPr>
        <w:t>Bénitah, M.,</w:t>
      </w:r>
      <w:r w:rsidRPr="005D6868">
        <w:rPr>
          <w:rFonts w:ascii="Times New Roman" w:hAnsi="Times New Roman" w:cs="Times New Roman"/>
        </w:rPr>
        <w:t xml:space="preserve"> </w:t>
      </w:r>
      <w:r w:rsidRPr="005D6868">
        <w:rPr>
          <w:rFonts w:ascii="Times New Roman" w:hAnsi="Times New Roman" w:cs="Times New Roman"/>
          <w:i/>
        </w:rPr>
        <w:t>Fondements juridiques du traitement des subventions dans les systèmes GATT&amp;OMC</w:t>
      </w:r>
      <w:r w:rsidRPr="005D6868">
        <w:rPr>
          <w:rFonts w:ascii="Times New Roman" w:hAnsi="Times New Roman" w:cs="Times New Roman"/>
        </w:rPr>
        <w:t>, Genève, Librairie Droz, 1998.</w:t>
      </w:r>
    </w:p>
    <w:p w14:paraId="60FC365D" w14:textId="77777777" w:rsidR="006A3458" w:rsidRPr="005D6868" w:rsidRDefault="006A3458" w:rsidP="00570190">
      <w:pPr>
        <w:spacing w:line="276" w:lineRule="auto"/>
        <w:jc w:val="both"/>
        <w:rPr>
          <w:rFonts w:ascii="Times New Roman" w:hAnsi="Times New Roman" w:cs="Times New Roman"/>
        </w:rPr>
      </w:pPr>
    </w:p>
    <w:p w14:paraId="46BE7988"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smallCaps/>
        </w:rPr>
        <w:t>Bhagwati, J.,</w:t>
      </w:r>
      <w:r w:rsidRPr="005D6868">
        <w:rPr>
          <w:rFonts w:ascii="Times New Roman" w:hAnsi="Times New Roman" w:cs="Times New Roman"/>
        </w:rPr>
        <w:t xml:space="preserve"> </w:t>
      </w:r>
      <w:r w:rsidRPr="005D6868">
        <w:rPr>
          <w:rFonts w:ascii="Times New Roman" w:hAnsi="Times New Roman" w:cs="Times New Roman"/>
          <w:i/>
        </w:rPr>
        <w:t>Protectionnisme</w:t>
      </w:r>
      <w:r w:rsidRPr="005D6868">
        <w:rPr>
          <w:rFonts w:ascii="Times New Roman" w:hAnsi="Times New Roman" w:cs="Times New Roman"/>
        </w:rPr>
        <w:t>, Paris, Bordas, 1990.</w:t>
      </w:r>
    </w:p>
    <w:p w14:paraId="144937E4" w14:textId="77777777" w:rsidR="006A3458" w:rsidRPr="005D6868" w:rsidRDefault="006A3458" w:rsidP="00570190">
      <w:pPr>
        <w:spacing w:line="276" w:lineRule="auto"/>
        <w:jc w:val="both"/>
        <w:rPr>
          <w:rFonts w:ascii="Times New Roman" w:hAnsi="Times New Roman" w:cs="Times New Roman"/>
        </w:rPr>
      </w:pPr>
    </w:p>
    <w:p w14:paraId="57F1E55E"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smallCaps/>
        </w:rPr>
        <w:t>Blackhurst R., Marian N., Tumlir, J.,</w:t>
      </w:r>
      <w:r w:rsidRPr="005D6868">
        <w:rPr>
          <w:rFonts w:ascii="Times New Roman" w:hAnsi="Times New Roman" w:cs="Times New Roman"/>
        </w:rPr>
        <w:t xml:space="preserve"> </w:t>
      </w:r>
      <w:r w:rsidRPr="005D6868">
        <w:rPr>
          <w:rFonts w:ascii="Times New Roman" w:hAnsi="Times New Roman" w:cs="Times New Roman"/>
          <w:i/>
        </w:rPr>
        <w:t>Libéralisation des échanges commerciaux, protectionnisme et interdépendance</w:t>
      </w:r>
      <w:r w:rsidRPr="005D6868">
        <w:rPr>
          <w:rFonts w:ascii="Times New Roman" w:hAnsi="Times New Roman" w:cs="Times New Roman"/>
        </w:rPr>
        <w:t>, Genève, Accord général sur les tarifs douaniers et le commerce, 1977.</w:t>
      </w:r>
    </w:p>
    <w:p w14:paraId="75F9222F" w14:textId="77777777" w:rsidR="006A3458" w:rsidRPr="005D6868" w:rsidRDefault="006A3458" w:rsidP="00570190">
      <w:pPr>
        <w:spacing w:line="276" w:lineRule="auto"/>
        <w:jc w:val="both"/>
        <w:rPr>
          <w:rFonts w:ascii="Times New Roman" w:hAnsi="Times New Roman" w:cs="Times New Roman"/>
        </w:rPr>
      </w:pPr>
    </w:p>
    <w:p w14:paraId="71A15983" w14:textId="77777777" w:rsidR="006A3458" w:rsidRPr="005D6868" w:rsidRDefault="006A3458" w:rsidP="00570190">
      <w:pPr>
        <w:tabs>
          <w:tab w:val="left" w:pos="2600"/>
        </w:tabs>
        <w:spacing w:line="276" w:lineRule="auto"/>
        <w:jc w:val="both"/>
        <w:rPr>
          <w:rFonts w:ascii="Times New Roman" w:hAnsi="Times New Roman" w:cs="Times New Roman"/>
        </w:rPr>
      </w:pPr>
      <w:r w:rsidRPr="005D6868">
        <w:rPr>
          <w:rFonts w:ascii="Times New Roman" w:hAnsi="Times New Roman" w:cs="Times New Roman"/>
          <w:smallCaps/>
        </w:rPr>
        <w:t>Blackhurst, R., Marian, N.</w:t>
      </w:r>
      <w:r w:rsidRPr="005D6868">
        <w:rPr>
          <w:rFonts w:ascii="Times New Roman" w:hAnsi="Times New Roman" w:cs="Times New Roman"/>
        </w:rPr>
        <w:t xml:space="preserve"> et </w:t>
      </w:r>
      <w:r w:rsidRPr="005D6868">
        <w:rPr>
          <w:rFonts w:ascii="Times New Roman" w:hAnsi="Times New Roman" w:cs="Times New Roman"/>
          <w:smallCaps/>
        </w:rPr>
        <w:t>Tumlir, J.</w:t>
      </w:r>
      <w:r w:rsidRPr="005D6868">
        <w:rPr>
          <w:rFonts w:ascii="Times New Roman" w:hAnsi="Times New Roman" w:cs="Times New Roman"/>
        </w:rPr>
        <w:t xml:space="preserve">, </w:t>
      </w:r>
      <w:r w:rsidRPr="005D6868">
        <w:rPr>
          <w:rFonts w:ascii="Times New Roman" w:hAnsi="Times New Roman" w:cs="Times New Roman"/>
          <w:i/>
        </w:rPr>
        <w:t>Libéralisation des échanges commerciaux, protectionnisme et interdépendance, GATT études sur le commerce international</w:t>
      </w:r>
      <w:r w:rsidRPr="005D6868">
        <w:rPr>
          <w:rFonts w:ascii="Times New Roman" w:hAnsi="Times New Roman" w:cs="Times New Roman"/>
        </w:rPr>
        <w:t>, « Accord général sur les tarifs douaniers et le commerce », Genève, novembre 1977, n°5.</w:t>
      </w:r>
    </w:p>
    <w:p w14:paraId="55F3DAEB" w14:textId="77777777" w:rsidR="006A3458" w:rsidRPr="005D6868" w:rsidRDefault="006A3458" w:rsidP="00570190">
      <w:pPr>
        <w:spacing w:line="276" w:lineRule="auto"/>
        <w:jc w:val="both"/>
        <w:rPr>
          <w:rFonts w:ascii="Times New Roman" w:hAnsi="Times New Roman" w:cs="Times New Roman"/>
        </w:rPr>
      </w:pPr>
    </w:p>
    <w:p w14:paraId="07224B9B"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smallCaps/>
        </w:rPr>
        <w:t>Bouvier-Ajam, M.</w:t>
      </w:r>
      <w:r w:rsidRPr="005D6868">
        <w:rPr>
          <w:rFonts w:ascii="Times New Roman" w:hAnsi="Times New Roman" w:cs="Times New Roman"/>
        </w:rPr>
        <w:t xml:space="preserve">, </w:t>
      </w:r>
      <w:r w:rsidRPr="005D6868">
        <w:rPr>
          <w:rFonts w:ascii="Times New Roman" w:hAnsi="Times New Roman" w:cs="Times New Roman"/>
          <w:i/>
        </w:rPr>
        <w:t xml:space="preserve">Traité d’économie politique et d’histoire des doctrines économiques : </w:t>
      </w:r>
      <w:r w:rsidRPr="005D6868">
        <w:rPr>
          <w:rFonts w:ascii="Times New Roman" w:hAnsi="Times New Roman" w:cs="Times New Roman"/>
          <w:i/>
          <w:color w:val="262626"/>
        </w:rPr>
        <w:t>Richesse et misère du monde, données et structures économiques</w:t>
      </w:r>
      <w:r w:rsidRPr="005D6868">
        <w:rPr>
          <w:rFonts w:ascii="Times New Roman" w:hAnsi="Times New Roman" w:cs="Times New Roman"/>
        </w:rPr>
        <w:t>, Paris, Plon, 1952.</w:t>
      </w:r>
    </w:p>
    <w:p w14:paraId="49BB31CE" w14:textId="77777777" w:rsidR="006A3458" w:rsidRPr="005D6868" w:rsidRDefault="006A3458" w:rsidP="00570190">
      <w:pPr>
        <w:spacing w:line="276" w:lineRule="auto"/>
        <w:jc w:val="both"/>
        <w:rPr>
          <w:rFonts w:ascii="Times New Roman" w:hAnsi="Times New Roman" w:cs="Times New Roman"/>
        </w:rPr>
      </w:pPr>
    </w:p>
    <w:p w14:paraId="2D728407" w14:textId="77777777" w:rsidR="006A3458" w:rsidRPr="005D6868" w:rsidRDefault="006A3458" w:rsidP="00570190">
      <w:pPr>
        <w:pStyle w:val="Notedebasdepage"/>
        <w:spacing w:line="276" w:lineRule="auto"/>
        <w:jc w:val="both"/>
        <w:rPr>
          <w:rFonts w:ascii="Times New Roman" w:hAnsi="Times New Roman" w:cs="Times New Roman"/>
        </w:rPr>
      </w:pPr>
      <w:r w:rsidRPr="005D6868">
        <w:rPr>
          <w:rFonts w:ascii="Times New Roman" w:hAnsi="Times New Roman" w:cs="Times New Roman"/>
          <w:smallCaps/>
        </w:rPr>
        <w:t>Busino, G.</w:t>
      </w:r>
      <w:r w:rsidRPr="005D6868">
        <w:rPr>
          <w:rFonts w:ascii="Times New Roman" w:hAnsi="Times New Roman" w:cs="Times New Roman"/>
        </w:rPr>
        <w:t xml:space="preserve">, « Naissance du mercantilisme libéral », Genève, Droz, </w:t>
      </w:r>
      <w:r w:rsidRPr="005D6868">
        <w:rPr>
          <w:rFonts w:ascii="Times New Roman" w:hAnsi="Times New Roman" w:cs="Times New Roman"/>
          <w:i/>
        </w:rPr>
        <w:t>revue européenne des sciences sociales</w:t>
      </w:r>
      <w:r w:rsidRPr="005D6868">
        <w:rPr>
          <w:rFonts w:ascii="Times New Roman" w:hAnsi="Times New Roman" w:cs="Times New Roman"/>
        </w:rPr>
        <w:t>, 1997, pp. 7 et 8.</w:t>
      </w:r>
    </w:p>
    <w:p w14:paraId="1D3FD25E" w14:textId="77777777" w:rsidR="006A3458" w:rsidRPr="005D6868" w:rsidRDefault="006A3458" w:rsidP="00570190">
      <w:pPr>
        <w:pStyle w:val="Notedebasdepage"/>
        <w:spacing w:line="276" w:lineRule="auto"/>
        <w:jc w:val="both"/>
        <w:rPr>
          <w:rFonts w:ascii="Times New Roman" w:hAnsi="Times New Roman" w:cs="Times New Roman"/>
          <w:lang w:val="nl-NL"/>
        </w:rPr>
      </w:pPr>
    </w:p>
    <w:p w14:paraId="3476211D" w14:textId="77777777" w:rsidR="006A3458" w:rsidRPr="005D6868" w:rsidRDefault="006A3458" w:rsidP="00570190">
      <w:pPr>
        <w:spacing w:line="276" w:lineRule="auto"/>
        <w:jc w:val="both"/>
        <w:rPr>
          <w:rFonts w:ascii="Times New Roman" w:hAnsi="Times New Roman" w:cs="Times New Roman"/>
          <w:lang w:val="nl-NL"/>
        </w:rPr>
      </w:pPr>
      <w:r w:rsidRPr="005D6868">
        <w:rPr>
          <w:rFonts w:ascii="Times New Roman" w:hAnsi="Times New Roman" w:cs="Times New Roman"/>
          <w:smallCaps/>
          <w:lang w:val="nl-NL"/>
        </w:rPr>
        <w:t>Cameron, J., Campbell</w:t>
      </w:r>
      <w:r w:rsidRPr="005D6868">
        <w:rPr>
          <w:rFonts w:ascii="Times New Roman" w:hAnsi="Times New Roman" w:cs="Times New Roman"/>
          <w:lang w:val="nl-NL"/>
        </w:rPr>
        <w:t xml:space="preserve">, K., “Callenging the Boundaries of the DSU through Trade and Environment Disputes”, </w:t>
      </w:r>
      <w:r w:rsidRPr="005D6868">
        <w:rPr>
          <w:rFonts w:ascii="Times New Roman" w:hAnsi="Times New Roman" w:cs="Times New Roman"/>
          <w:i/>
          <w:lang w:val="nl-NL"/>
        </w:rPr>
        <w:t>Dispute Resolution in the World Trade Organization</w:t>
      </w:r>
      <w:r w:rsidRPr="005D6868">
        <w:rPr>
          <w:rFonts w:ascii="Times New Roman" w:hAnsi="Times New Roman" w:cs="Times New Roman"/>
          <w:lang w:val="nl-NL"/>
        </w:rPr>
        <w:t>, London, James Cameron, 1998.</w:t>
      </w:r>
    </w:p>
    <w:p w14:paraId="32E11B85" w14:textId="77777777" w:rsidR="006A3458" w:rsidRPr="005D6868" w:rsidRDefault="006A3458" w:rsidP="00570190">
      <w:pPr>
        <w:spacing w:line="276" w:lineRule="auto"/>
        <w:jc w:val="both"/>
        <w:rPr>
          <w:rFonts w:ascii="Times New Roman" w:hAnsi="Times New Roman" w:cs="Times New Roman"/>
          <w:lang w:val="en-US"/>
        </w:rPr>
      </w:pPr>
    </w:p>
    <w:p w14:paraId="00E989D3"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smallCaps/>
        </w:rPr>
        <w:t>Canal-Forgues, E., Flory, T.,</w:t>
      </w:r>
      <w:r w:rsidRPr="005D6868">
        <w:rPr>
          <w:rFonts w:ascii="Times New Roman" w:hAnsi="Times New Roman" w:cs="Times New Roman"/>
        </w:rPr>
        <w:t xml:space="preserve"> GATT/OMC, </w:t>
      </w:r>
      <w:r w:rsidRPr="005D6868">
        <w:rPr>
          <w:rFonts w:ascii="Times New Roman" w:hAnsi="Times New Roman" w:cs="Times New Roman"/>
          <w:i/>
        </w:rPr>
        <w:t>Recueil des contentieux du 1</w:t>
      </w:r>
      <w:r w:rsidRPr="005D6868">
        <w:rPr>
          <w:rFonts w:ascii="Times New Roman" w:hAnsi="Times New Roman" w:cs="Times New Roman"/>
          <w:i/>
          <w:vertAlign w:val="superscript"/>
        </w:rPr>
        <w:t>er</w:t>
      </w:r>
      <w:r w:rsidRPr="005D6868">
        <w:rPr>
          <w:rFonts w:ascii="Times New Roman" w:hAnsi="Times New Roman" w:cs="Times New Roman"/>
          <w:i/>
        </w:rPr>
        <w:t xml:space="preserve"> janvier 1948 au 31 décembre 1999</w:t>
      </w:r>
      <w:r w:rsidRPr="005D6868">
        <w:rPr>
          <w:rFonts w:ascii="Times New Roman" w:hAnsi="Times New Roman" w:cs="Times New Roman"/>
        </w:rPr>
        <w:t>, Bruxelles, Bruylant, 2001.</w:t>
      </w:r>
    </w:p>
    <w:p w14:paraId="1A59023A" w14:textId="77777777" w:rsidR="006A3458" w:rsidRPr="005D6868" w:rsidRDefault="006A3458" w:rsidP="00570190">
      <w:pPr>
        <w:spacing w:line="276" w:lineRule="auto"/>
        <w:jc w:val="both"/>
        <w:rPr>
          <w:rFonts w:ascii="Times New Roman" w:hAnsi="Times New Roman" w:cs="Times New Roman"/>
        </w:rPr>
      </w:pPr>
    </w:p>
    <w:p w14:paraId="63B722BE"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smallCaps/>
        </w:rPr>
        <w:t>Cazala</w:t>
      </w:r>
      <w:r w:rsidRPr="005D6868">
        <w:rPr>
          <w:rFonts w:ascii="Times New Roman" w:hAnsi="Times New Roman" w:cs="Times New Roman"/>
        </w:rPr>
        <w:t xml:space="preserve">, J., </w:t>
      </w:r>
      <w:r w:rsidRPr="005D6868">
        <w:rPr>
          <w:rFonts w:ascii="Times New Roman" w:hAnsi="Times New Roman" w:cs="Times New Roman"/>
          <w:i/>
        </w:rPr>
        <w:t>Le principe de précaution en droit international</w:t>
      </w:r>
      <w:r w:rsidRPr="005D6868">
        <w:rPr>
          <w:rFonts w:ascii="Times New Roman" w:hAnsi="Times New Roman" w:cs="Times New Roman"/>
        </w:rPr>
        <w:t>, Bibliothèque de l’institut des hautes études internationales de Paris, Collection dirigée par Jean Combacau, Joe Verhoeven, Anthémis, 2006.</w:t>
      </w:r>
    </w:p>
    <w:p w14:paraId="03BCB6CB" w14:textId="77777777" w:rsidR="006A3458" w:rsidRPr="005D6868" w:rsidRDefault="006A3458" w:rsidP="00570190">
      <w:pPr>
        <w:spacing w:line="276" w:lineRule="auto"/>
        <w:jc w:val="both"/>
        <w:rPr>
          <w:rFonts w:ascii="Times New Roman" w:hAnsi="Times New Roman" w:cs="Times New Roman"/>
          <w:lang w:val="en-US"/>
        </w:rPr>
      </w:pPr>
    </w:p>
    <w:p w14:paraId="79BD4AC8" w14:textId="77777777" w:rsidR="006A3458" w:rsidRPr="005D6868" w:rsidRDefault="006A3458" w:rsidP="00570190">
      <w:pPr>
        <w:spacing w:line="276" w:lineRule="auto"/>
        <w:jc w:val="both"/>
        <w:rPr>
          <w:rFonts w:ascii="Times New Roman" w:hAnsi="Times New Roman" w:cs="Times New Roman"/>
          <w:lang w:val="en-US"/>
        </w:rPr>
      </w:pPr>
      <w:r w:rsidRPr="005D6868">
        <w:rPr>
          <w:rFonts w:ascii="Times New Roman" w:hAnsi="Times New Roman" w:cs="Times New Roman"/>
          <w:smallCaps/>
          <w:lang w:val="en-US"/>
        </w:rPr>
        <w:t>Chow, D., Schoenbaum, T.,</w:t>
      </w:r>
      <w:r w:rsidRPr="005D6868">
        <w:rPr>
          <w:rFonts w:ascii="Times New Roman" w:hAnsi="Times New Roman" w:cs="Times New Roman"/>
          <w:lang w:val="en-US"/>
        </w:rPr>
        <w:t xml:space="preserve"> </w:t>
      </w:r>
      <w:r w:rsidRPr="005D6868">
        <w:rPr>
          <w:rFonts w:ascii="Times New Roman" w:hAnsi="Times New Roman" w:cs="Times New Roman"/>
          <w:i/>
          <w:lang w:val="en-US"/>
        </w:rPr>
        <w:t>International Trade Law, Problems, Cases, and Materials</w:t>
      </w:r>
      <w:r w:rsidRPr="005D6868">
        <w:rPr>
          <w:rFonts w:ascii="Times New Roman" w:hAnsi="Times New Roman" w:cs="Times New Roman"/>
          <w:lang w:val="en-US"/>
        </w:rPr>
        <w:t>, New York, Wolters Kluwer Law &amp; Business, 2013.</w:t>
      </w:r>
    </w:p>
    <w:p w14:paraId="6DEACDF8" w14:textId="77777777" w:rsidR="006A3458" w:rsidRPr="005D6868" w:rsidRDefault="006A3458" w:rsidP="00570190">
      <w:pPr>
        <w:pStyle w:val="Notedebasdepage"/>
        <w:spacing w:line="276" w:lineRule="auto"/>
        <w:jc w:val="both"/>
        <w:rPr>
          <w:rFonts w:ascii="Times New Roman" w:hAnsi="Times New Roman" w:cs="Times New Roman"/>
        </w:rPr>
      </w:pPr>
    </w:p>
    <w:p w14:paraId="63EC91E9" w14:textId="77777777" w:rsidR="006A3458" w:rsidRPr="005D6868" w:rsidRDefault="006A3458" w:rsidP="00570190">
      <w:pPr>
        <w:tabs>
          <w:tab w:val="left" w:pos="2600"/>
        </w:tabs>
        <w:spacing w:line="276" w:lineRule="auto"/>
        <w:jc w:val="both"/>
        <w:rPr>
          <w:rFonts w:ascii="Times New Roman" w:hAnsi="Times New Roman" w:cs="Times New Roman"/>
        </w:rPr>
      </w:pPr>
      <w:r w:rsidRPr="005D6868">
        <w:rPr>
          <w:rFonts w:ascii="Times New Roman" w:hAnsi="Times New Roman" w:cs="Times New Roman"/>
          <w:smallCaps/>
        </w:rPr>
        <w:t>D’Agostino</w:t>
      </w:r>
      <w:r w:rsidRPr="005D6868">
        <w:rPr>
          <w:rFonts w:ascii="Times New Roman" w:hAnsi="Times New Roman" w:cs="Times New Roman"/>
        </w:rPr>
        <w:t xml:space="preserve">, </w:t>
      </w:r>
      <w:r w:rsidRPr="005D6868">
        <w:rPr>
          <w:rFonts w:ascii="Times New Roman" w:hAnsi="Times New Roman" w:cs="Times New Roman"/>
          <w:i/>
        </w:rPr>
        <w:t>Libre-échange et protectionnisme</w:t>
      </w:r>
      <w:r w:rsidRPr="005D6868">
        <w:rPr>
          <w:rFonts w:ascii="Times New Roman" w:hAnsi="Times New Roman" w:cs="Times New Roman"/>
        </w:rPr>
        <w:t>, Thèmes &amp;Débats, Paris, Bréal, 2003.</w:t>
      </w:r>
    </w:p>
    <w:p w14:paraId="2F3E616F" w14:textId="77777777" w:rsidR="00080648" w:rsidRPr="005D6868" w:rsidRDefault="00080648" w:rsidP="00570190">
      <w:pPr>
        <w:tabs>
          <w:tab w:val="left" w:pos="2600"/>
        </w:tabs>
        <w:spacing w:line="276" w:lineRule="auto"/>
        <w:jc w:val="both"/>
        <w:rPr>
          <w:rFonts w:ascii="Times New Roman" w:hAnsi="Times New Roman" w:cs="Times New Roman"/>
        </w:rPr>
      </w:pPr>
    </w:p>
    <w:p w14:paraId="05A68A5D" w14:textId="77777777" w:rsidR="006A3458" w:rsidRPr="005D6868" w:rsidRDefault="006A3458" w:rsidP="00570190">
      <w:pPr>
        <w:tabs>
          <w:tab w:val="left" w:pos="2600"/>
        </w:tabs>
        <w:spacing w:line="276" w:lineRule="auto"/>
        <w:jc w:val="both"/>
        <w:rPr>
          <w:rFonts w:ascii="Times New Roman" w:hAnsi="Times New Roman" w:cs="Times New Roman"/>
        </w:rPr>
      </w:pPr>
      <w:r w:rsidRPr="005D6868">
        <w:rPr>
          <w:rFonts w:ascii="Times New Roman" w:hAnsi="Times New Roman" w:cs="Times New Roman"/>
          <w:smallCaps/>
        </w:rPr>
        <w:t>D’Agostino</w:t>
      </w:r>
      <w:r w:rsidRPr="005D6868">
        <w:rPr>
          <w:rFonts w:ascii="Times New Roman" w:hAnsi="Times New Roman" w:cs="Times New Roman"/>
        </w:rPr>
        <w:t xml:space="preserve">, S., </w:t>
      </w:r>
      <w:r w:rsidRPr="005D6868">
        <w:rPr>
          <w:rFonts w:ascii="Times New Roman" w:hAnsi="Times New Roman" w:cs="Times New Roman"/>
          <w:smallCaps/>
        </w:rPr>
        <w:t>Deubel, P, Mantoussé, M., Renouard</w:t>
      </w:r>
      <w:r w:rsidRPr="005D6868">
        <w:rPr>
          <w:rFonts w:ascii="Times New Roman" w:hAnsi="Times New Roman" w:cs="Times New Roman"/>
        </w:rPr>
        <w:t xml:space="preserve">, G., </w:t>
      </w:r>
      <w:r w:rsidRPr="005D6868">
        <w:rPr>
          <w:rFonts w:ascii="Times New Roman" w:hAnsi="Times New Roman" w:cs="Times New Roman"/>
          <w:i/>
        </w:rPr>
        <w:t>Dictionnaire des sciences économiques et sociales</w:t>
      </w:r>
      <w:r w:rsidRPr="005D6868">
        <w:rPr>
          <w:rFonts w:ascii="Times New Roman" w:hAnsi="Times New Roman" w:cs="Times New Roman"/>
        </w:rPr>
        <w:t xml:space="preserve">, (Carole Bluchetin), Bréal, Rosny, 2008. </w:t>
      </w:r>
    </w:p>
    <w:p w14:paraId="6116C8C8"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smallCaps/>
        </w:rPr>
        <w:t>Deyon, P.,</w:t>
      </w:r>
      <w:r w:rsidRPr="005D6868">
        <w:rPr>
          <w:rFonts w:ascii="Times New Roman" w:hAnsi="Times New Roman" w:cs="Times New Roman"/>
        </w:rPr>
        <w:t xml:space="preserve"> </w:t>
      </w:r>
      <w:r w:rsidRPr="005D6868">
        <w:rPr>
          <w:rFonts w:ascii="Times New Roman" w:hAnsi="Times New Roman" w:cs="Times New Roman"/>
          <w:i/>
        </w:rPr>
        <w:t>Le mercantilisme</w:t>
      </w:r>
      <w:r w:rsidRPr="005D6868">
        <w:rPr>
          <w:rFonts w:ascii="Times New Roman" w:hAnsi="Times New Roman" w:cs="Times New Roman"/>
        </w:rPr>
        <w:t>, Paris, Flammarion, 1969.</w:t>
      </w:r>
    </w:p>
    <w:p w14:paraId="422186EF" w14:textId="77777777" w:rsidR="006A3458" w:rsidRPr="005D6868" w:rsidRDefault="006A3458" w:rsidP="00570190">
      <w:pPr>
        <w:spacing w:line="276" w:lineRule="auto"/>
        <w:jc w:val="both"/>
        <w:rPr>
          <w:rFonts w:ascii="Times New Roman" w:hAnsi="Times New Roman" w:cs="Times New Roman"/>
        </w:rPr>
      </w:pPr>
    </w:p>
    <w:p w14:paraId="1B425658" w14:textId="77777777" w:rsidR="006A3458" w:rsidRPr="005D6868" w:rsidRDefault="006A3458" w:rsidP="00570190">
      <w:pPr>
        <w:spacing w:line="276" w:lineRule="auto"/>
        <w:jc w:val="both"/>
        <w:rPr>
          <w:rFonts w:ascii="Times New Roman" w:hAnsi="Times New Roman" w:cs="Times New Roman"/>
          <w:lang w:val="en-US"/>
        </w:rPr>
      </w:pPr>
      <w:r w:rsidRPr="005D6868">
        <w:rPr>
          <w:rFonts w:ascii="Times New Roman" w:hAnsi="Times New Roman" w:cs="Times New Roman"/>
          <w:smallCaps/>
          <w:lang w:val="en-US"/>
        </w:rPr>
        <w:t>Feichtner, I.,</w:t>
      </w:r>
      <w:r w:rsidRPr="005D6868">
        <w:rPr>
          <w:rFonts w:ascii="Times New Roman" w:hAnsi="Times New Roman" w:cs="Times New Roman"/>
          <w:lang w:val="en-US"/>
        </w:rPr>
        <w:t xml:space="preserve"> </w:t>
      </w:r>
      <w:r w:rsidRPr="005D6868">
        <w:rPr>
          <w:rFonts w:ascii="Times New Roman" w:hAnsi="Times New Roman" w:cs="Times New Roman"/>
          <w:i/>
          <w:lang w:val="en-US"/>
        </w:rPr>
        <w:t>The law and politics of WTO Waivers, Stability and Flexibility in Public International Law</w:t>
      </w:r>
      <w:r w:rsidRPr="005D6868">
        <w:rPr>
          <w:rFonts w:ascii="Times New Roman" w:hAnsi="Times New Roman" w:cs="Times New Roman"/>
          <w:lang w:val="en-US"/>
        </w:rPr>
        <w:t>, Cambridge, Cambridge University Press, 2012.</w:t>
      </w:r>
    </w:p>
    <w:p w14:paraId="5AF72770" w14:textId="77777777" w:rsidR="006A3458" w:rsidRPr="005D6868" w:rsidRDefault="006A3458" w:rsidP="00570190">
      <w:pPr>
        <w:spacing w:line="276" w:lineRule="auto"/>
        <w:jc w:val="both"/>
        <w:rPr>
          <w:rFonts w:ascii="Times New Roman" w:hAnsi="Times New Roman" w:cs="Times New Roman"/>
          <w:lang w:val="en-US"/>
        </w:rPr>
      </w:pPr>
    </w:p>
    <w:p w14:paraId="56B0D9BD"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smallCaps/>
        </w:rPr>
        <w:t>Flory, T.,</w:t>
      </w:r>
      <w:r w:rsidRPr="005D6868">
        <w:rPr>
          <w:rFonts w:ascii="Times New Roman" w:hAnsi="Times New Roman" w:cs="Times New Roman"/>
        </w:rPr>
        <w:t xml:space="preserve"> </w:t>
      </w:r>
      <w:r w:rsidRPr="005D6868">
        <w:rPr>
          <w:rFonts w:ascii="Times New Roman" w:hAnsi="Times New Roman" w:cs="Times New Roman"/>
          <w:i/>
        </w:rPr>
        <w:t>L’organisation mondiale du commerce, Droit institutionnel et substantiel</w:t>
      </w:r>
      <w:r w:rsidRPr="005D6868">
        <w:rPr>
          <w:rFonts w:ascii="Times New Roman" w:hAnsi="Times New Roman" w:cs="Times New Roman"/>
        </w:rPr>
        <w:t>, Bruxelles, Bruylant, 1999.</w:t>
      </w:r>
    </w:p>
    <w:p w14:paraId="599E10A2" w14:textId="77777777" w:rsidR="006A3458" w:rsidRPr="005D6868" w:rsidRDefault="006A3458" w:rsidP="00570190">
      <w:pPr>
        <w:spacing w:line="276" w:lineRule="auto"/>
        <w:jc w:val="both"/>
        <w:rPr>
          <w:rFonts w:ascii="Times New Roman" w:hAnsi="Times New Roman" w:cs="Times New Roman"/>
        </w:rPr>
      </w:pPr>
    </w:p>
    <w:p w14:paraId="1FF1030D"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i/>
        </w:rPr>
        <w:t>Guide des règles et pratiques du GATT, Index analytique</w:t>
      </w:r>
      <w:r w:rsidRPr="005D6868">
        <w:rPr>
          <w:rFonts w:ascii="Times New Roman" w:hAnsi="Times New Roman" w:cs="Times New Roman"/>
        </w:rPr>
        <w:t xml:space="preserve">, 1995, volume 1, Articles  I-XXI, OMC, Genève, 1995. </w:t>
      </w:r>
    </w:p>
    <w:p w14:paraId="7C0EC849" w14:textId="77777777" w:rsidR="006A3458" w:rsidRPr="005D6868" w:rsidRDefault="006A3458" w:rsidP="00570190">
      <w:pPr>
        <w:spacing w:line="276" w:lineRule="auto"/>
        <w:jc w:val="both"/>
        <w:rPr>
          <w:rFonts w:ascii="Times New Roman" w:hAnsi="Times New Roman" w:cs="Times New Roman"/>
        </w:rPr>
      </w:pPr>
    </w:p>
    <w:p w14:paraId="5E268C0F"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smallCaps/>
        </w:rPr>
        <w:t>Guillochon, B.</w:t>
      </w:r>
      <w:r w:rsidRPr="005D6868">
        <w:rPr>
          <w:rFonts w:ascii="Times New Roman" w:hAnsi="Times New Roman" w:cs="Times New Roman"/>
        </w:rPr>
        <w:t xml:space="preserve">, </w:t>
      </w:r>
      <w:r w:rsidRPr="005D6868">
        <w:rPr>
          <w:rFonts w:ascii="Times New Roman" w:hAnsi="Times New Roman" w:cs="Times New Roman"/>
          <w:i/>
        </w:rPr>
        <w:t>Economie internationale</w:t>
      </w:r>
      <w:r w:rsidRPr="005D6868">
        <w:rPr>
          <w:rFonts w:ascii="Times New Roman" w:hAnsi="Times New Roman" w:cs="Times New Roman"/>
        </w:rPr>
        <w:t>, Paris, Dunod, 1994.</w:t>
      </w:r>
    </w:p>
    <w:p w14:paraId="07D7F8E3" w14:textId="77777777" w:rsidR="006A3458" w:rsidRPr="005D6868" w:rsidRDefault="006A3458" w:rsidP="00570190">
      <w:pPr>
        <w:spacing w:line="276" w:lineRule="auto"/>
        <w:jc w:val="both"/>
        <w:rPr>
          <w:rFonts w:ascii="Times New Roman" w:hAnsi="Times New Roman" w:cs="Times New Roman"/>
        </w:rPr>
      </w:pPr>
    </w:p>
    <w:p w14:paraId="0373E35A"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smallCaps/>
        </w:rPr>
        <w:t>Guillochon, B.,</w:t>
      </w:r>
      <w:r w:rsidRPr="005D6868">
        <w:rPr>
          <w:rFonts w:ascii="Times New Roman" w:hAnsi="Times New Roman" w:cs="Times New Roman"/>
          <w:i/>
        </w:rPr>
        <w:t xml:space="preserve"> Le protectionnisme</w:t>
      </w:r>
      <w:r w:rsidRPr="005D6868">
        <w:rPr>
          <w:rFonts w:ascii="Times New Roman" w:hAnsi="Times New Roman" w:cs="Times New Roman"/>
        </w:rPr>
        <w:t>, Paris, La Découverte, 2001.</w:t>
      </w:r>
    </w:p>
    <w:p w14:paraId="0FE5A0BB" w14:textId="77777777" w:rsidR="006A3458" w:rsidRPr="005D6868" w:rsidRDefault="006A3458" w:rsidP="00570190">
      <w:pPr>
        <w:spacing w:line="276" w:lineRule="auto"/>
        <w:jc w:val="both"/>
        <w:rPr>
          <w:rFonts w:ascii="Times New Roman" w:hAnsi="Times New Roman" w:cs="Times New Roman"/>
        </w:rPr>
      </w:pPr>
    </w:p>
    <w:p w14:paraId="7753DFC6"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smallCaps/>
        </w:rPr>
        <w:t>Guyot, Y.,</w:t>
      </w:r>
      <w:r w:rsidRPr="005D6868">
        <w:rPr>
          <w:rFonts w:ascii="Times New Roman" w:hAnsi="Times New Roman" w:cs="Times New Roman"/>
        </w:rPr>
        <w:t xml:space="preserve"> </w:t>
      </w:r>
      <w:r w:rsidRPr="005D6868">
        <w:rPr>
          <w:rFonts w:ascii="Times New Roman" w:hAnsi="Times New Roman" w:cs="Times New Roman"/>
          <w:i/>
        </w:rPr>
        <w:t>La science économique : ses lois inductives</w:t>
      </w:r>
      <w:r w:rsidRPr="005D6868">
        <w:rPr>
          <w:rFonts w:ascii="Times New Roman" w:hAnsi="Times New Roman" w:cs="Times New Roman"/>
        </w:rPr>
        <w:t>, Paris, Reinwald, 1907.</w:t>
      </w:r>
    </w:p>
    <w:p w14:paraId="67BCB7D2" w14:textId="77777777" w:rsidR="006A3458" w:rsidRPr="005D6868" w:rsidRDefault="006A3458" w:rsidP="00570190">
      <w:pPr>
        <w:spacing w:line="276" w:lineRule="auto"/>
        <w:jc w:val="both"/>
        <w:rPr>
          <w:rFonts w:ascii="Times New Roman" w:hAnsi="Times New Roman" w:cs="Times New Roman"/>
        </w:rPr>
      </w:pPr>
    </w:p>
    <w:p w14:paraId="4DE4EE19" w14:textId="77777777" w:rsidR="006A3458" w:rsidRPr="005D6868" w:rsidRDefault="006A3458" w:rsidP="00570190">
      <w:pPr>
        <w:spacing w:line="276" w:lineRule="auto"/>
        <w:jc w:val="both"/>
        <w:rPr>
          <w:rFonts w:ascii="Times New Roman" w:hAnsi="Times New Roman" w:cs="Times New Roman"/>
          <w:lang w:val="en-US"/>
        </w:rPr>
      </w:pPr>
      <w:r w:rsidRPr="005D6868">
        <w:rPr>
          <w:rFonts w:ascii="Times New Roman" w:hAnsi="Times New Roman" w:cs="Times New Roman"/>
          <w:smallCaps/>
          <w:lang w:val="en-US"/>
        </w:rPr>
        <w:t>Horn, H., Mavroidis</w:t>
      </w:r>
      <w:r w:rsidRPr="005D6868">
        <w:rPr>
          <w:rFonts w:ascii="Times New Roman" w:hAnsi="Times New Roman" w:cs="Times New Roman"/>
          <w:lang w:val="en-US"/>
        </w:rPr>
        <w:t xml:space="preserve">, P., </w:t>
      </w:r>
      <w:r w:rsidRPr="005D6868">
        <w:rPr>
          <w:rFonts w:ascii="Times New Roman" w:hAnsi="Times New Roman" w:cs="Times New Roman"/>
          <w:i/>
          <w:lang w:val="en-US"/>
        </w:rPr>
        <w:t>The WTO case law of 2001</w:t>
      </w:r>
      <w:r w:rsidRPr="005D6868">
        <w:rPr>
          <w:rFonts w:ascii="Times New Roman" w:hAnsi="Times New Roman" w:cs="Times New Roman"/>
          <w:lang w:val="en-US"/>
        </w:rPr>
        <w:t xml:space="preserve">, </w:t>
      </w:r>
      <w:r w:rsidRPr="005D6868">
        <w:rPr>
          <w:rFonts w:ascii="Times New Roman" w:hAnsi="Times New Roman" w:cs="Times New Roman"/>
          <w:highlight w:val="lightGray"/>
          <w:lang w:val="en-US"/>
        </w:rPr>
        <w:t>The American Law Institute Reporter’s Studies,</w:t>
      </w:r>
      <w:r w:rsidRPr="005D6868">
        <w:rPr>
          <w:rFonts w:ascii="Times New Roman" w:hAnsi="Times New Roman" w:cs="Times New Roman"/>
          <w:lang w:val="en-US"/>
        </w:rPr>
        <w:t xml:space="preserve"> Cambridge, University Press Cambridge, 2003.</w:t>
      </w:r>
    </w:p>
    <w:p w14:paraId="628F03C1" w14:textId="77777777" w:rsidR="006A3458" w:rsidRPr="005D6868" w:rsidRDefault="006A3458" w:rsidP="00570190">
      <w:pPr>
        <w:spacing w:line="276" w:lineRule="auto"/>
        <w:jc w:val="both"/>
        <w:rPr>
          <w:rFonts w:ascii="Times New Roman" w:hAnsi="Times New Roman" w:cs="Times New Roman"/>
          <w:lang w:val="en-US"/>
        </w:rPr>
      </w:pPr>
    </w:p>
    <w:p w14:paraId="238FF8AE" w14:textId="77777777" w:rsidR="006A3458" w:rsidRPr="005D6868" w:rsidRDefault="006A3458" w:rsidP="00570190">
      <w:pPr>
        <w:spacing w:line="276" w:lineRule="auto"/>
        <w:jc w:val="both"/>
        <w:rPr>
          <w:rFonts w:ascii="Times New Roman" w:hAnsi="Times New Roman" w:cs="Times New Roman"/>
          <w:lang w:val="en-US"/>
        </w:rPr>
      </w:pPr>
      <w:r w:rsidRPr="005D6868">
        <w:rPr>
          <w:rFonts w:ascii="Times New Roman" w:hAnsi="Times New Roman" w:cs="Times New Roman"/>
          <w:smallCaps/>
          <w:lang w:val="en-US"/>
        </w:rPr>
        <w:t>Horn, H., Mavroidis, Petros C</w:t>
      </w:r>
      <w:r w:rsidRPr="005D6868">
        <w:rPr>
          <w:rFonts w:ascii="Times New Roman" w:hAnsi="Times New Roman" w:cs="Times New Roman"/>
          <w:lang w:val="en-US"/>
        </w:rPr>
        <w:t xml:space="preserve">., « The WTO case law of 2003 », </w:t>
      </w:r>
      <w:r w:rsidRPr="005D6868">
        <w:rPr>
          <w:rFonts w:ascii="Times New Roman" w:hAnsi="Times New Roman" w:cs="Times New Roman"/>
          <w:i/>
          <w:lang w:val="en-US"/>
        </w:rPr>
        <w:t>The American Law Institute Reporters’ Studies</w:t>
      </w:r>
      <w:r w:rsidRPr="005D6868">
        <w:rPr>
          <w:rFonts w:ascii="Times New Roman" w:hAnsi="Times New Roman" w:cs="Times New Roman"/>
          <w:lang w:val="en-US"/>
        </w:rPr>
        <w:t>, Cambridge, Cambridge University Press, 2006.</w:t>
      </w:r>
    </w:p>
    <w:p w14:paraId="6543DE76" w14:textId="77777777" w:rsidR="006A3458" w:rsidRPr="005D6868" w:rsidRDefault="006A3458" w:rsidP="00570190">
      <w:pPr>
        <w:spacing w:line="276" w:lineRule="auto"/>
        <w:jc w:val="both"/>
        <w:rPr>
          <w:rFonts w:ascii="Times New Roman" w:hAnsi="Times New Roman" w:cs="Times New Roman"/>
          <w:lang w:val="en-US"/>
        </w:rPr>
      </w:pPr>
    </w:p>
    <w:p w14:paraId="77BA37FF" w14:textId="77777777" w:rsidR="006A3458" w:rsidRPr="005D6868" w:rsidRDefault="006A3458" w:rsidP="00570190">
      <w:pPr>
        <w:spacing w:line="276" w:lineRule="auto"/>
        <w:jc w:val="both"/>
        <w:rPr>
          <w:rFonts w:ascii="Times New Roman" w:hAnsi="Times New Roman" w:cs="Times New Roman"/>
          <w:lang w:val="en-US"/>
        </w:rPr>
      </w:pPr>
      <w:r w:rsidRPr="005D6868">
        <w:rPr>
          <w:rFonts w:ascii="Times New Roman" w:hAnsi="Times New Roman" w:cs="Times New Roman"/>
          <w:smallCaps/>
          <w:lang w:val="en-US"/>
        </w:rPr>
        <w:t>Horn, H., Mavroidis, Petros C.</w:t>
      </w:r>
      <w:r w:rsidRPr="005D6868">
        <w:rPr>
          <w:rFonts w:ascii="Times New Roman" w:hAnsi="Times New Roman" w:cs="Times New Roman"/>
          <w:lang w:val="en-US"/>
        </w:rPr>
        <w:t xml:space="preserve">, « The WTO case law of 2004-2005 : Legal and Economic Analysis », </w:t>
      </w:r>
      <w:r w:rsidRPr="005D6868">
        <w:rPr>
          <w:rFonts w:ascii="Times New Roman" w:hAnsi="Times New Roman" w:cs="Times New Roman"/>
          <w:i/>
          <w:lang w:val="en-US"/>
        </w:rPr>
        <w:t>The American Law Institute</w:t>
      </w:r>
      <w:r w:rsidRPr="005D6868">
        <w:rPr>
          <w:rFonts w:ascii="Times New Roman" w:hAnsi="Times New Roman" w:cs="Times New Roman"/>
          <w:lang w:val="en-US"/>
        </w:rPr>
        <w:t>, Cambridge, Cambridge University Press, 2008.</w:t>
      </w:r>
    </w:p>
    <w:p w14:paraId="3E031764" w14:textId="77777777" w:rsidR="006A3458" w:rsidRPr="005D6868" w:rsidRDefault="006A3458" w:rsidP="00570190">
      <w:pPr>
        <w:spacing w:line="276" w:lineRule="auto"/>
        <w:jc w:val="both"/>
        <w:rPr>
          <w:rFonts w:ascii="Times New Roman" w:hAnsi="Times New Roman" w:cs="Times New Roman"/>
          <w:lang w:val="en-US"/>
        </w:rPr>
      </w:pPr>
    </w:p>
    <w:p w14:paraId="17A52495" w14:textId="77777777" w:rsidR="006A3458" w:rsidRPr="005D6868" w:rsidRDefault="006A3458" w:rsidP="00570190">
      <w:pPr>
        <w:spacing w:line="276" w:lineRule="auto"/>
        <w:jc w:val="both"/>
        <w:rPr>
          <w:rFonts w:ascii="Times New Roman" w:hAnsi="Times New Roman" w:cs="Times New Roman"/>
          <w:lang w:val="en-US"/>
        </w:rPr>
      </w:pPr>
      <w:r w:rsidRPr="005D6868">
        <w:rPr>
          <w:rFonts w:ascii="Times New Roman" w:hAnsi="Times New Roman" w:cs="Times New Roman"/>
          <w:smallCaps/>
          <w:lang w:val="en-US"/>
        </w:rPr>
        <w:t>Horn, H., Mavroidis, Petros C.</w:t>
      </w:r>
      <w:r w:rsidRPr="005D6868">
        <w:rPr>
          <w:rFonts w:ascii="Times New Roman" w:hAnsi="Times New Roman" w:cs="Times New Roman"/>
          <w:lang w:val="en-US"/>
        </w:rPr>
        <w:t xml:space="preserve">, « The WTO case law of 2006-2007 : Legal and Economic Analysis », </w:t>
      </w:r>
      <w:r w:rsidRPr="005D6868">
        <w:rPr>
          <w:rFonts w:ascii="Times New Roman" w:hAnsi="Times New Roman" w:cs="Times New Roman"/>
          <w:i/>
          <w:lang w:val="en-US"/>
        </w:rPr>
        <w:t xml:space="preserve">The American Law Institute, </w:t>
      </w:r>
      <w:r w:rsidRPr="005D6868">
        <w:rPr>
          <w:rFonts w:ascii="Times New Roman" w:hAnsi="Times New Roman" w:cs="Times New Roman"/>
          <w:lang w:val="en-US"/>
        </w:rPr>
        <w:t>Cambridge, Cambridge University Press, 2009.</w:t>
      </w:r>
    </w:p>
    <w:p w14:paraId="35792605" w14:textId="77777777" w:rsidR="006A3458" w:rsidRPr="005D6868" w:rsidRDefault="006A3458" w:rsidP="00570190">
      <w:pPr>
        <w:spacing w:line="276" w:lineRule="auto"/>
        <w:jc w:val="both"/>
        <w:rPr>
          <w:rFonts w:ascii="Times New Roman" w:hAnsi="Times New Roman" w:cs="Times New Roman"/>
          <w:lang w:val="en-US"/>
        </w:rPr>
      </w:pPr>
    </w:p>
    <w:p w14:paraId="03B46902" w14:textId="77777777" w:rsidR="006A3458" w:rsidRPr="005D6868" w:rsidRDefault="006A3458" w:rsidP="00570190">
      <w:pPr>
        <w:spacing w:line="276" w:lineRule="auto"/>
        <w:jc w:val="both"/>
        <w:rPr>
          <w:rFonts w:ascii="Times New Roman" w:hAnsi="Times New Roman" w:cs="Times New Roman"/>
          <w:lang w:val="en-US"/>
        </w:rPr>
      </w:pPr>
      <w:r w:rsidRPr="005D6868">
        <w:rPr>
          <w:rFonts w:ascii="Times New Roman" w:hAnsi="Times New Roman" w:cs="Times New Roman"/>
          <w:smallCaps/>
          <w:lang w:val="en-US"/>
        </w:rPr>
        <w:t>Jackson John, H.</w:t>
      </w:r>
      <w:r w:rsidRPr="005D6868">
        <w:rPr>
          <w:rFonts w:ascii="Times New Roman" w:hAnsi="Times New Roman" w:cs="Times New Roman"/>
          <w:lang w:val="en-US"/>
        </w:rPr>
        <w:t xml:space="preserve">,  </w:t>
      </w:r>
      <w:r w:rsidRPr="005D6868">
        <w:rPr>
          <w:rFonts w:ascii="Times New Roman" w:hAnsi="Times New Roman" w:cs="Times New Roman"/>
          <w:i/>
          <w:lang w:val="en-US"/>
        </w:rPr>
        <w:t>The Jurisprudence of GATT and the WTO, Insights on treaty law and economic relations</w:t>
      </w:r>
      <w:r w:rsidRPr="005D6868">
        <w:rPr>
          <w:rFonts w:ascii="Times New Roman" w:hAnsi="Times New Roman" w:cs="Times New Roman"/>
          <w:lang w:val="en-US"/>
        </w:rPr>
        <w:t>, Cambridge, Cambridge Press University, 2000.</w:t>
      </w:r>
    </w:p>
    <w:p w14:paraId="3B2D2760" w14:textId="77777777" w:rsidR="006A3458" w:rsidRPr="005D6868" w:rsidRDefault="006A3458" w:rsidP="00570190">
      <w:pPr>
        <w:spacing w:line="276" w:lineRule="auto"/>
        <w:jc w:val="both"/>
        <w:rPr>
          <w:rFonts w:ascii="Times New Roman" w:hAnsi="Times New Roman" w:cs="Times New Roman"/>
          <w:lang w:val="en-US"/>
        </w:rPr>
      </w:pPr>
    </w:p>
    <w:p w14:paraId="3CA0AB7F" w14:textId="7E98DFE8" w:rsidR="006A3458" w:rsidRPr="005D6868" w:rsidRDefault="006A3458" w:rsidP="00570190">
      <w:pPr>
        <w:tabs>
          <w:tab w:val="left" w:pos="2600"/>
        </w:tabs>
        <w:spacing w:line="276" w:lineRule="auto"/>
        <w:jc w:val="both"/>
        <w:rPr>
          <w:rFonts w:ascii="Times New Roman" w:hAnsi="Times New Roman" w:cs="Times New Roman"/>
        </w:rPr>
      </w:pPr>
      <w:r w:rsidRPr="005D6868">
        <w:rPr>
          <w:rFonts w:ascii="Times New Roman" w:hAnsi="Times New Roman" w:cs="Times New Roman"/>
          <w:smallCaps/>
        </w:rPr>
        <w:t>Jeanneney, J.-M</w:t>
      </w:r>
      <w:r w:rsidRPr="005D6868">
        <w:rPr>
          <w:rFonts w:ascii="Times New Roman" w:hAnsi="Times New Roman" w:cs="Times New Roman"/>
        </w:rPr>
        <w:t xml:space="preserve">., </w:t>
      </w:r>
      <w:r w:rsidRPr="005D6868">
        <w:rPr>
          <w:rFonts w:ascii="Times New Roman" w:hAnsi="Times New Roman" w:cs="Times New Roman"/>
          <w:i/>
        </w:rPr>
        <w:t>Pour un nouveau protectionnisme</w:t>
      </w:r>
      <w:r w:rsidRPr="005D6868">
        <w:rPr>
          <w:rFonts w:ascii="Times New Roman" w:hAnsi="Times New Roman" w:cs="Times New Roman"/>
        </w:rPr>
        <w:t>, Paris, Seuil, 1978.</w:t>
      </w:r>
    </w:p>
    <w:p w14:paraId="7ADFFFD9"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i/>
        </w:rPr>
        <w:t>Le petit Larousse illustré</w:t>
      </w:r>
      <w:r w:rsidRPr="005D6868">
        <w:rPr>
          <w:rFonts w:ascii="Times New Roman" w:hAnsi="Times New Roman" w:cs="Times New Roman"/>
        </w:rPr>
        <w:t>, Paris, Larousse, 2010.</w:t>
      </w:r>
    </w:p>
    <w:p w14:paraId="7E672A6E" w14:textId="77777777" w:rsidR="006A3458" w:rsidRPr="005D6868" w:rsidRDefault="006A3458" w:rsidP="00570190">
      <w:pPr>
        <w:spacing w:line="276" w:lineRule="auto"/>
        <w:jc w:val="both"/>
        <w:rPr>
          <w:rFonts w:ascii="Times New Roman" w:hAnsi="Times New Roman" w:cs="Times New Roman"/>
        </w:rPr>
      </w:pPr>
    </w:p>
    <w:p w14:paraId="56D3AEE0"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smallCaps/>
        </w:rPr>
        <w:t>Luff, D</w:t>
      </w:r>
      <w:r w:rsidRPr="005D6868">
        <w:rPr>
          <w:rFonts w:ascii="Times New Roman" w:hAnsi="Times New Roman" w:cs="Times New Roman"/>
        </w:rPr>
        <w:t xml:space="preserve">., </w:t>
      </w:r>
      <w:r w:rsidRPr="005D6868">
        <w:rPr>
          <w:rFonts w:ascii="Times New Roman" w:hAnsi="Times New Roman" w:cs="Times New Roman"/>
          <w:i/>
        </w:rPr>
        <w:t>Le droit de l’organisation mondiale du commerce, Analyse critique</w:t>
      </w:r>
      <w:r w:rsidRPr="005D6868">
        <w:rPr>
          <w:rFonts w:ascii="Times New Roman" w:hAnsi="Times New Roman" w:cs="Times New Roman"/>
        </w:rPr>
        <w:t xml:space="preserve">, Collection de la faculté de droit, Université libre de Bruxelles, Bruxelles, Bruylant, 2004. </w:t>
      </w:r>
    </w:p>
    <w:p w14:paraId="11E8BD64" w14:textId="77777777" w:rsidR="006A3458" w:rsidRPr="005D6868" w:rsidRDefault="006A3458" w:rsidP="00570190">
      <w:pPr>
        <w:spacing w:line="276" w:lineRule="auto"/>
        <w:jc w:val="both"/>
        <w:rPr>
          <w:rFonts w:ascii="Times New Roman" w:hAnsi="Times New Roman" w:cs="Times New Roman"/>
        </w:rPr>
      </w:pPr>
    </w:p>
    <w:p w14:paraId="28B65C07" w14:textId="77777777" w:rsidR="006A3458" w:rsidRPr="005D6868" w:rsidRDefault="006A3458" w:rsidP="00570190">
      <w:pPr>
        <w:tabs>
          <w:tab w:val="left" w:pos="2600"/>
        </w:tabs>
        <w:spacing w:line="276" w:lineRule="auto"/>
        <w:jc w:val="both"/>
        <w:rPr>
          <w:rFonts w:ascii="Times New Roman" w:hAnsi="Times New Roman" w:cs="Times New Roman"/>
          <w:lang w:val="en-US"/>
        </w:rPr>
      </w:pPr>
      <w:r w:rsidRPr="005D6868">
        <w:rPr>
          <w:rFonts w:ascii="Times New Roman" w:hAnsi="Times New Roman" w:cs="Times New Roman"/>
          <w:smallCaps/>
          <w:lang w:val="en-US"/>
        </w:rPr>
        <w:t>Macrory, P., Appleton, A., Plummer</w:t>
      </w:r>
      <w:r w:rsidRPr="005D6868">
        <w:rPr>
          <w:rFonts w:ascii="Times New Roman" w:hAnsi="Times New Roman" w:cs="Times New Roman"/>
          <w:lang w:val="en-US"/>
        </w:rPr>
        <w:t xml:space="preserve">, M., </w:t>
      </w:r>
      <w:r w:rsidRPr="005D6868">
        <w:rPr>
          <w:rFonts w:ascii="Times New Roman" w:hAnsi="Times New Roman" w:cs="Times New Roman"/>
          <w:i/>
          <w:lang w:val="en-US"/>
        </w:rPr>
        <w:t>The World Trade Organization : legal, economic and political analysis</w:t>
      </w:r>
      <w:r w:rsidRPr="005D6868">
        <w:rPr>
          <w:rFonts w:ascii="Times New Roman" w:hAnsi="Times New Roman" w:cs="Times New Roman"/>
          <w:lang w:val="en-US"/>
        </w:rPr>
        <w:t>, New York, Springer, 2005.</w:t>
      </w:r>
    </w:p>
    <w:p w14:paraId="76F542F2"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smallCaps/>
        </w:rPr>
        <w:t>Maljean-Dubois, S.,</w:t>
      </w:r>
      <w:r w:rsidRPr="005D6868">
        <w:rPr>
          <w:rFonts w:ascii="Times New Roman" w:hAnsi="Times New Roman" w:cs="Times New Roman"/>
        </w:rPr>
        <w:t xml:space="preserve"> </w:t>
      </w:r>
      <w:r w:rsidRPr="005D6868">
        <w:rPr>
          <w:rFonts w:ascii="Times New Roman" w:hAnsi="Times New Roman" w:cs="Times New Roman"/>
          <w:i/>
        </w:rPr>
        <w:t>Droit de l’Organisation Mondiale du Commerce et protection de l’environnement</w:t>
      </w:r>
      <w:r w:rsidRPr="005D6868">
        <w:rPr>
          <w:rFonts w:ascii="Times New Roman" w:hAnsi="Times New Roman" w:cs="Times New Roman"/>
        </w:rPr>
        <w:t>, Bruxelles, Bruylant, 2003.</w:t>
      </w:r>
    </w:p>
    <w:p w14:paraId="3A1625EA" w14:textId="77777777" w:rsidR="006A3458" w:rsidRPr="005D6868" w:rsidRDefault="006A3458" w:rsidP="00570190">
      <w:pPr>
        <w:spacing w:line="276" w:lineRule="auto"/>
        <w:jc w:val="both"/>
        <w:rPr>
          <w:rFonts w:ascii="Times New Roman" w:hAnsi="Times New Roman" w:cs="Times New Roman"/>
        </w:rPr>
      </w:pPr>
    </w:p>
    <w:p w14:paraId="7EB96057" w14:textId="77777777" w:rsidR="006A3458" w:rsidRPr="005D6868" w:rsidRDefault="006A3458" w:rsidP="00570190">
      <w:pPr>
        <w:pStyle w:val="Notedebasdepage"/>
        <w:spacing w:line="276" w:lineRule="auto"/>
        <w:jc w:val="both"/>
        <w:rPr>
          <w:rFonts w:ascii="Times New Roman" w:hAnsi="Times New Roman" w:cs="Times New Roman"/>
          <w:lang w:val="en-US"/>
        </w:rPr>
      </w:pPr>
      <w:r w:rsidRPr="005D6868">
        <w:rPr>
          <w:rFonts w:ascii="Times New Roman" w:hAnsi="Times New Roman" w:cs="Times New Roman"/>
          <w:smallCaps/>
          <w:lang w:val="en-US"/>
        </w:rPr>
        <w:t>Meier</w:t>
      </w:r>
      <w:r w:rsidRPr="005D6868">
        <w:rPr>
          <w:rFonts w:ascii="Times New Roman" w:hAnsi="Times New Roman" w:cs="Times New Roman"/>
          <w:lang w:val="en-US"/>
        </w:rPr>
        <w:t>, M., « GATT, WTO, and the Environment : To What Extent Do GATT/WTO Rules Permit Members Nations To Protect the Environment When Doing So Adversely Affects Trade », Colo. J. Int’l Envt’l L &amp; Pol’y, 1997, pp. 241-263.</w:t>
      </w:r>
    </w:p>
    <w:p w14:paraId="28B1DDBF" w14:textId="77777777" w:rsidR="006A3458" w:rsidRPr="005D6868" w:rsidRDefault="006A3458" w:rsidP="00570190">
      <w:pPr>
        <w:pStyle w:val="Notedebasdepage"/>
        <w:spacing w:line="276" w:lineRule="auto"/>
        <w:jc w:val="both"/>
        <w:rPr>
          <w:rFonts w:ascii="Times New Roman" w:hAnsi="Times New Roman" w:cs="Times New Roman"/>
          <w:lang w:val="nl-NL"/>
        </w:rPr>
      </w:pPr>
    </w:p>
    <w:p w14:paraId="4A94B0D8" w14:textId="77777777" w:rsidR="006A3458" w:rsidRPr="005D6868" w:rsidRDefault="006A3458" w:rsidP="00570190">
      <w:pPr>
        <w:spacing w:line="276" w:lineRule="auto"/>
        <w:jc w:val="both"/>
        <w:rPr>
          <w:rFonts w:ascii="Times New Roman" w:hAnsi="Times New Roman" w:cs="Times New Roman"/>
          <w:lang w:val="en-US"/>
        </w:rPr>
      </w:pPr>
      <w:r w:rsidRPr="005D6868">
        <w:rPr>
          <w:rFonts w:ascii="Times New Roman" w:hAnsi="Times New Roman" w:cs="Times New Roman"/>
          <w:smallCaps/>
          <w:lang w:val="en-US"/>
        </w:rPr>
        <w:t>Messerlin, P.,</w:t>
      </w:r>
      <w:r w:rsidRPr="005D6868">
        <w:rPr>
          <w:rFonts w:ascii="Times New Roman" w:hAnsi="Times New Roman" w:cs="Times New Roman"/>
          <w:lang w:val="en-US"/>
        </w:rPr>
        <w:t xml:space="preserve"> </w:t>
      </w:r>
      <w:r w:rsidRPr="005D6868">
        <w:rPr>
          <w:rFonts w:ascii="Times New Roman" w:hAnsi="Times New Roman" w:cs="Times New Roman"/>
          <w:i/>
          <w:lang w:val="en-US"/>
        </w:rPr>
        <w:t>Measuring the costs of protection in Europe, European Commercial Policy in the 2000s</w:t>
      </w:r>
      <w:r w:rsidRPr="005D6868">
        <w:rPr>
          <w:rFonts w:ascii="Times New Roman" w:hAnsi="Times New Roman" w:cs="Times New Roman"/>
          <w:lang w:val="en-US"/>
        </w:rPr>
        <w:t>, Washington DC, Institute for International Economics, 2001.</w:t>
      </w:r>
    </w:p>
    <w:p w14:paraId="45511ABF" w14:textId="77777777" w:rsidR="006A3458" w:rsidRPr="005D6868" w:rsidRDefault="006A3458" w:rsidP="00570190">
      <w:pPr>
        <w:spacing w:line="276" w:lineRule="auto"/>
        <w:jc w:val="both"/>
        <w:rPr>
          <w:rFonts w:ascii="Times New Roman" w:hAnsi="Times New Roman" w:cs="Times New Roman"/>
          <w:lang w:val="en-US"/>
        </w:rPr>
      </w:pPr>
    </w:p>
    <w:p w14:paraId="537BE7C7"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smallCaps/>
        </w:rPr>
        <w:t>Montoussé, M., D’Agostino, S., Chaffel, A.,Huart</w:t>
      </w:r>
      <w:r w:rsidRPr="005D6868">
        <w:rPr>
          <w:rFonts w:ascii="Times New Roman" w:hAnsi="Times New Roman" w:cs="Times New Roman"/>
        </w:rPr>
        <w:t xml:space="preserve">, J.-M., </w:t>
      </w:r>
      <w:r w:rsidRPr="005D6868">
        <w:rPr>
          <w:rFonts w:ascii="Times New Roman" w:hAnsi="Times New Roman" w:cs="Times New Roman"/>
          <w:i/>
        </w:rPr>
        <w:t>Analyse économique et historique des sociétés contemporaines</w:t>
      </w:r>
      <w:r w:rsidRPr="005D6868">
        <w:rPr>
          <w:rFonts w:ascii="Times New Roman" w:hAnsi="Times New Roman" w:cs="Times New Roman"/>
        </w:rPr>
        <w:t>, Paris, Bréal, 2007.</w:t>
      </w:r>
    </w:p>
    <w:p w14:paraId="5377A7B1" w14:textId="77777777" w:rsidR="006A3458" w:rsidRPr="005D6868" w:rsidRDefault="006A3458" w:rsidP="00570190">
      <w:pPr>
        <w:spacing w:line="276" w:lineRule="auto"/>
        <w:jc w:val="both"/>
        <w:rPr>
          <w:rFonts w:ascii="Times New Roman" w:hAnsi="Times New Roman" w:cs="Times New Roman"/>
        </w:rPr>
      </w:pPr>
    </w:p>
    <w:p w14:paraId="30690872" w14:textId="77777777" w:rsidR="006A3458" w:rsidRPr="005D6868" w:rsidRDefault="006A3458" w:rsidP="00570190">
      <w:pPr>
        <w:pStyle w:val="Notedebasdepage"/>
        <w:spacing w:line="276" w:lineRule="auto"/>
        <w:jc w:val="both"/>
        <w:rPr>
          <w:rFonts w:ascii="Times New Roman" w:hAnsi="Times New Roman" w:cs="Times New Roman"/>
        </w:rPr>
      </w:pPr>
      <w:r w:rsidRPr="005D6868">
        <w:rPr>
          <w:rFonts w:ascii="Times New Roman" w:hAnsi="Times New Roman" w:cs="Times New Roman"/>
          <w:smallCaps/>
        </w:rPr>
        <w:t>Ngambi</w:t>
      </w:r>
      <w:r w:rsidRPr="005D6868">
        <w:rPr>
          <w:rFonts w:ascii="Times New Roman" w:hAnsi="Times New Roman" w:cs="Times New Roman"/>
        </w:rPr>
        <w:t xml:space="preserve">, J., </w:t>
      </w:r>
      <w:r w:rsidRPr="005D6868">
        <w:rPr>
          <w:rFonts w:ascii="Times New Roman" w:hAnsi="Times New Roman" w:cs="Times New Roman"/>
          <w:i/>
        </w:rPr>
        <w:t>La preuve dans le règlement des différends de l’organisation mondiale du commerce</w:t>
      </w:r>
      <w:r w:rsidRPr="005D6868">
        <w:rPr>
          <w:rFonts w:ascii="Times New Roman" w:hAnsi="Times New Roman" w:cs="Times New Roman"/>
        </w:rPr>
        <w:t>, Bruxelles, Bruylant, p. 210.</w:t>
      </w:r>
    </w:p>
    <w:p w14:paraId="4875BA68" w14:textId="77777777" w:rsidR="006A3458" w:rsidRPr="005D6868" w:rsidRDefault="006A3458" w:rsidP="00570190">
      <w:pPr>
        <w:pStyle w:val="Notedebasdepage"/>
        <w:spacing w:line="276" w:lineRule="auto"/>
        <w:jc w:val="both"/>
        <w:rPr>
          <w:rFonts w:ascii="Times New Roman" w:hAnsi="Times New Roman" w:cs="Times New Roman"/>
        </w:rPr>
      </w:pPr>
    </w:p>
    <w:p w14:paraId="677CFC13" w14:textId="77777777" w:rsidR="006A3458" w:rsidRPr="005D6868" w:rsidRDefault="006A3458" w:rsidP="00570190">
      <w:pPr>
        <w:pStyle w:val="Notedebasdepage"/>
        <w:spacing w:line="276" w:lineRule="auto"/>
        <w:jc w:val="both"/>
        <w:rPr>
          <w:rFonts w:ascii="Times New Roman" w:hAnsi="Times New Roman" w:cs="Times New Roman"/>
        </w:rPr>
      </w:pPr>
      <w:r w:rsidRPr="005D6868">
        <w:rPr>
          <w:rFonts w:ascii="Times New Roman" w:hAnsi="Times New Roman" w:cs="Times New Roman"/>
          <w:smallCaps/>
          <w:lang w:val="en-US"/>
        </w:rPr>
        <w:t>Pauwelyn, J.,</w:t>
      </w:r>
      <w:r w:rsidRPr="005D6868">
        <w:rPr>
          <w:rFonts w:ascii="Times New Roman" w:hAnsi="Times New Roman" w:cs="Times New Roman"/>
          <w:lang w:val="en-US"/>
        </w:rPr>
        <w:t xml:space="preserve"> « Evidence, Proof and Persuasion in WTO Dispute Settlement. </w:t>
      </w:r>
      <w:r w:rsidRPr="005D6868">
        <w:rPr>
          <w:rFonts w:ascii="Times New Roman" w:hAnsi="Times New Roman" w:cs="Times New Roman"/>
        </w:rPr>
        <w:t xml:space="preserve">Who bears the burden ? », </w:t>
      </w:r>
      <w:r w:rsidRPr="005D6868">
        <w:rPr>
          <w:rFonts w:ascii="Times New Roman" w:hAnsi="Times New Roman" w:cs="Times New Roman"/>
          <w:i/>
        </w:rPr>
        <w:t>JIEL</w:t>
      </w:r>
      <w:r w:rsidRPr="005D6868">
        <w:rPr>
          <w:rFonts w:ascii="Times New Roman" w:hAnsi="Times New Roman" w:cs="Times New Roman"/>
        </w:rPr>
        <w:t>, 1998, n°1, p. 240, note 38.</w:t>
      </w:r>
    </w:p>
    <w:p w14:paraId="40DF4C01" w14:textId="77777777" w:rsidR="006A3458" w:rsidRPr="005D6868" w:rsidRDefault="006A3458" w:rsidP="00570190">
      <w:pPr>
        <w:spacing w:line="276" w:lineRule="auto"/>
        <w:jc w:val="both"/>
        <w:rPr>
          <w:rFonts w:ascii="Times New Roman" w:hAnsi="Times New Roman" w:cs="Times New Roman"/>
        </w:rPr>
      </w:pPr>
    </w:p>
    <w:p w14:paraId="517399CE" w14:textId="77777777" w:rsidR="006A3458" w:rsidRPr="005D6868" w:rsidRDefault="006A3458" w:rsidP="00570190">
      <w:pPr>
        <w:spacing w:line="276" w:lineRule="auto"/>
        <w:jc w:val="both"/>
        <w:rPr>
          <w:rFonts w:ascii="Times New Roman" w:hAnsi="Times New Roman" w:cs="Times New Roman"/>
          <w:lang w:val="en-US"/>
        </w:rPr>
      </w:pPr>
      <w:r w:rsidRPr="005D6868">
        <w:rPr>
          <w:rFonts w:ascii="Times New Roman" w:hAnsi="Times New Roman" w:cs="Times New Roman"/>
          <w:i/>
        </w:rPr>
        <w:t>Pratique du GATT/de l’OMC en matière de règlement des différends se rapportant à l’article XX, paragraphes b), d) et g) du GATT</w:t>
      </w:r>
      <w:r w:rsidRPr="005D6868">
        <w:rPr>
          <w:rFonts w:ascii="Times New Roman" w:hAnsi="Times New Roman" w:cs="Times New Roman"/>
        </w:rPr>
        <w:t xml:space="preserve">, Comité du Commerce et de l’environnement, Note du Secrétariat, Organisation Mondiale du Commerce, WT/CTE/W/53/Rev.1., 26 octobre 1998. </w:t>
      </w:r>
      <w:r w:rsidRPr="005D6868">
        <w:rPr>
          <w:rFonts w:ascii="Times New Roman" w:hAnsi="Times New Roman" w:cs="Times New Roman"/>
          <w:lang w:val="en-US"/>
        </w:rPr>
        <w:t xml:space="preserve">(source internet) </w:t>
      </w:r>
      <w:r w:rsidRPr="005D6868">
        <w:rPr>
          <w:rFonts w:ascii="Times New Roman" w:hAnsi="Times New Roman" w:cs="Times New Roman"/>
          <w:lang w:val="nl-NL"/>
        </w:rPr>
        <w:t xml:space="preserve">”Pratique du GATT/de l’OMC”,  </w:t>
      </w:r>
      <w:r w:rsidRPr="005D6868">
        <w:rPr>
          <w:rFonts w:ascii="Times New Roman" w:hAnsi="Times New Roman" w:cs="Times New Roman"/>
          <w:lang w:val="en-US"/>
        </w:rPr>
        <w:t xml:space="preserve">p. 9. </w:t>
      </w:r>
    </w:p>
    <w:p w14:paraId="5AE04CB3" w14:textId="77777777" w:rsidR="006A3458" w:rsidRPr="005D6868" w:rsidRDefault="006A3458" w:rsidP="00570190">
      <w:pPr>
        <w:spacing w:line="276" w:lineRule="auto"/>
        <w:jc w:val="both"/>
        <w:rPr>
          <w:rFonts w:ascii="Times New Roman" w:hAnsi="Times New Roman" w:cs="Times New Roman"/>
          <w:lang w:val="en-US"/>
        </w:rPr>
      </w:pPr>
    </w:p>
    <w:p w14:paraId="69EB5933" w14:textId="77777777" w:rsidR="006A3458" w:rsidRPr="005D6868" w:rsidRDefault="006A3458" w:rsidP="00570190">
      <w:pPr>
        <w:spacing w:line="276" w:lineRule="auto"/>
        <w:jc w:val="both"/>
        <w:rPr>
          <w:rFonts w:ascii="Times New Roman" w:hAnsi="Times New Roman" w:cs="Times New Roman"/>
          <w:lang w:val="nl-NL"/>
        </w:rPr>
      </w:pPr>
      <w:r w:rsidRPr="005D6868">
        <w:rPr>
          <w:rFonts w:ascii="Times New Roman" w:hAnsi="Times New Roman" w:cs="Times New Roman"/>
          <w:smallCaps/>
          <w:lang w:val="nl-NL"/>
        </w:rPr>
        <w:t>Prost</w:t>
      </w:r>
      <w:r w:rsidRPr="005D6868">
        <w:rPr>
          <w:rFonts w:ascii="Times New Roman" w:hAnsi="Times New Roman" w:cs="Times New Roman"/>
          <w:lang w:val="nl-NL"/>
        </w:rPr>
        <w:t xml:space="preserve">, M., </w:t>
      </w:r>
      <w:r w:rsidRPr="005D6868">
        <w:rPr>
          <w:rFonts w:ascii="Times New Roman" w:hAnsi="Times New Roman" w:cs="Times New Roman"/>
          <w:i/>
          <w:lang w:val="nl-NL"/>
        </w:rPr>
        <w:t>D’abord les moyens, les besoins viendront après, Commerce et environnement dans la “jurisprudence” du GATT et de l’OMC</w:t>
      </w:r>
      <w:r w:rsidRPr="005D6868">
        <w:rPr>
          <w:rFonts w:ascii="Times New Roman" w:hAnsi="Times New Roman" w:cs="Times New Roman"/>
          <w:lang w:val="nl-NL"/>
        </w:rPr>
        <w:t>, Bruylant, Bruxelles, 2005.</w:t>
      </w:r>
    </w:p>
    <w:p w14:paraId="04C9E222" w14:textId="77777777" w:rsidR="006A3458" w:rsidRPr="005D6868" w:rsidRDefault="006A3458" w:rsidP="00570190">
      <w:pPr>
        <w:spacing w:line="276" w:lineRule="auto"/>
        <w:jc w:val="both"/>
        <w:rPr>
          <w:rFonts w:ascii="Times New Roman" w:hAnsi="Times New Roman" w:cs="Times New Roman"/>
          <w:lang w:val="nl-NL"/>
        </w:rPr>
      </w:pPr>
    </w:p>
    <w:p w14:paraId="4FF4D558"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smallCaps/>
        </w:rPr>
        <w:t>Rainelli, M.,</w:t>
      </w:r>
      <w:r w:rsidRPr="005D6868">
        <w:rPr>
          <w:rFonts w:ascii="Times New Roman" w:hAnsi="Times New Roman" w:cs="Times New Roman"/>
        </w:rPr>
        <w:t xml:space="preserve"> </w:t>
      </w:r>
      <w:r w:rsidRPr="005D6868">
        <w:rPr>
          <w:rFonts w:ascii="Times New Roman" w:hAnsi="Times New Roman" w:cs="Times New Roman"/>
          <w:i/>
        </w:rPr>
        <w:t>Le commerce international</w:t>
      </w:r>
      <w:r w:rsidRPr="005D6868">
        <w:rPr>
          <w:rFonts w:ascii="Times New Roman" w:hAnsi="Times New Roman" w:cs="Times New Roman"/>
        </w:rPr>
        <w:t>, 10</w:t>
      </w:r>
      <w:r w:rsidRPr="005D6868">
        <w:rPr>
          <w:rFonts w:ascii="Times New Roman" w:hAnsi="Times New Roman" w:cs="Times New Roman"/>
          <w:vertAlign w:val="superscript"/>
        </w:rPr>
        <w:t>e</w:t>
      </w:r>
      <w:r w:rsidRPr="005D6868">
        <w:rPr>
          <w:rFonts w:ascii="Times New Roman" w:hAnsi="Times New Roman" w:cs="Times New Roman"/>
        </w:rPr>
        <w:t xml:space="preserve"> édition, Collection Repères, Paris, La Découverte, 2009.</w:t>
      </w:r>
    </w:p>
    <w:p w14:paraId="7EA96423" w14:textId="77777777" w:rsidR="006A3458" w:rsidRPr="005D6868" w:rsidRDefault="006A3458" w:rsidP="00570190">
      <w:pPr>
        <w:spacing w:line="276" w:lineRule="auto"/>
        <w:jc w:val="both"/>
        <w:rPr>
          <w:rFonts w:ascii="Times New Roman" w:hAnsi="Times New Roman" w:cs="Times New Roman"/>
        </w:rPr>
      </w:pPr>
    </w:p>
    <w:p w14:paraId="43738462" w14:textId="77777777" w:rsidR="006A3458" w:rsidRPr="005D6868" w:rsidRDefault="006A3458" w:rsidP="00570190">
      <w:pPr>
        <w:spacing w:line="276" w:lineRule="auto"/>
        <w:jc w:val="both"/>
        <w:rPr>
          <w:rFonts w:ascii="Times New Roman" w:hAnsi="Times New Roman" w:cs="Times New Roman"/>
          <w:lang w:val="en-US"/>
        </w:rPr>
      </w:pPr>
      <w:r w:rsidRPr="005D6868">
        <w:rPr>
          <w:rFonts w:ascii="Times New Roman" w:hAnsi="Times New Roman" w:cs="Times New Roman"/>
          <w:smallCaps/>
          <w:lang w:val="en-US"/>
        </w:rPr>
        <w:t>Rashid, S.,</w:t>
      </w:r>
      <w:r w:rsidRPr="005D6868">
        <w:rPr>
          <w:rFonts w:ascii="Times New Roman" w:hAnsi="Times New Roman" w:cs="Times New Roman"/>
          <w:lang w:val="en-US"/>
        </w:rPr>
        <w:t xml:space="preserve"> </w:t>
      </w:r>
      <w:r w:rsidRPr="005D6868">
        <w:rPr>
          <w:rFonts w:ascii="Times New Roman" w:hAnsi="Times New Roman" w:cs="Times New Roman"/>
          <w:i/>
          <w:lang w:val="en-US"/>
        </w:rPr>
        <w:t>The Myth of Adam Smith</w:t>
      </w:r>
      <w:r w:rsidRPr="005D6868">
        <w:rPr>
          <w:rFonts w:ascii="Times New Roman" w:hAnsi="Times New Roman" w:cs="Times New Roman"/>
          <w:lang w:val="en-US"/>
        </w:rPr>
        <w:t xml:space="preserve">, London, Elgar, 1998. </w:t>
      </w:r>
    </w:p>
    <w:p w14:paraId="41AA6C35" w14:textId="77777777" w:rsidR="006A3458" w:rsidRPr="005D6868" w:rsidRDefault="006A3458" w:rsidP="00570190">
      <w:pPr>
        <w:spacing w:line="276" w:lineRule="auto"/>
        <w:jc w:val="both"/>
        <w:rPr>
          <w:rFonts w:ascii="Times New Roman" w:hAnsi="Times New Roman" w:cs="Times New Roman"/>
          <w:lang w:val="en-US"/>
        </w:rPr>
      </w:pPr>
    </w:p>
    <w:p w14:paraId="42060778" w14:textId="77777777" w:rsidR="006A3458" w:rsidRPr="005D6868" w:rsidRDefault="006A3458" w:rsidP="00570190">
      <w:pPr>
        <w:tabs>
          <w:tab w:val="left" w:pos="2600"/>
        </w:tabs>
        <w:spacing w:line="276" w:lineRule="auto"/>
        <w:jc w:val="both"/>
        <w:rPr>
          <w:rFonts w:ascii="Times New Roman" w:hAnsi="Times New Roman" w:cs="Times New Roman"/>
          <w:lang w:val="en-US"/>
        </w:rPr>
      </w:pPr>
      <w:r w:rsidRPr="005D6868">
        <w:rPr>
          <w:rFonts w:ascii="Times New Roman" w:hAnsi="Times New Roman" w:cs="Times New Roman"/>
          <w:smallCaps/>
          <w:lang w:val="en-US"/>
        </w:rPr>
        <w:t>Reisman</w:t>
      </w:r>
      <w:r w:rsidRPr="005D6868">
        <w:rPr>
          <w:rFonts w:ascii="Times New Roman" w:hAnsi="Times New Roman" w:cs="Times New Roman"/>
          <w:lang w:val="en-US"/>
        </w:rPr>
        <w:t xml:space="preserve">, D. A., </w:t>
      </w:r>
      <w:r w:rsidRPr="005D6868">
        <w:rPr>
          <w:rFonts w:ascii="Times New Roman" w:hAnsi="Times New Roman" w:cs="Times New Roman"/>
          <w:i/>
          <w:lang w:val="en-US"/>
        </w:rPr>
        <w:t>Adam Smith’s Sociological Economics</w:t>
      </w:r>
      <w:r w:rsidRPr="005D6868">
        <w:rPr>
          <w:rFonts w:ascii="Times New Roman" w:hAnsi="Times New Roman" w:cs="Times New Roman"/>
          <w:lang w:val="en-US"/>
        </w:rPr>
        <w:t>, Croom Helm, London, 1976.</w:t>
      </w:r>
    </w:p>
    <w:p w14:paraId="7C5954BE" w14:textId="77777777" w:rsidR="006A3458" w:rsidRPr="005D6868" w:rsidRDefault="006A3458" w:rsidP="00570190">
      <w:pPr>
        <w:tabs>
          <w:tab w:val="left" w:pos="2600"/>
        </w:tabs>
        <w:spacing w:line="276" w:lineRule="auto"/>
        <w:jc w:val="both"/>
        <w:rPr>
          <w:rFonts w:ascii="Times New Roman" w:hAnsi="Times New Roman" w:cs="Times New Roman"/>
          <w:lang w:val="en-US"/>
        </w:rPr>
      </w:pPr>
      <w:r w:rsidRPr="005D6868">
        <w:rPr>
          <w:rFonts w:ascii="Times New Roman" w:hAnsi="Times New Roman" w:cs="Times New Roman"/>
          <w:smallCaps/>
          <w:lang w:val="en-US"/>
        </w:rPr>
        <w:t>Ricardo, D.</w:t>
      </w:r>
      <w:r w:rsidRPr="005D6868">
        <w:rPr>
          <w:rFonts w:ascii="Times New Roman" w:hAnsi="Times New Roman" w:cs="Times New Roman"/>
          <w:lang w:val="en-US"/>
        </w:rPr>
        <w:t xml:space="preserve">, </w:t>
      </w:r>
      <w:r w:rsidRPr="005D6868">
        <w:rPr>
          <w:rFonts w:ascii="Times New Roman" w:hAnsi="Times New Roman" w:cs="Times New Roman"/>
          <w:i/>
          <w:lang w:val="en-US"/>
        </w:rPr>
        <w:t>The works and correspondence of David Ricardo</w:t>
      </w:r>
      <w:r w:rsidRPr="005D6868">
        <w:rPr>
          <w:rFonts w:ascii="Times New Roman" w:hAnsi="Times New Roman" w:cs="Times New Roman"/>
          <w:lang w:val="en-US"/>
        </w:rPr>
        <w:t>, edited by Piero Sraffa with the collaboration of M. H. DOBB, Volume 1, Cambridge Press University, 1951.</w:t>
      </w:r>
    </w:p>
    <w:p w14:paraId="0A14E82D" w14:textId="77777777" w:rsidR="006A3458" w:rsidRPr="005D6868" w:rsidRDefault="006A3458" w:rsidP="00570190">
      <w:pPr>
        <w:tabs>
          <w:tab w:val="left" w:pos="2600"/>
        </w:tabs>
        <w:spacing w:line="276" w:lineRule="auto"/>
        <w:jc w:val="both"/>
        <w:rPr>
          <w:rFonts w:ascii="Times New Roman" w:hAnsi="Times New Roman" w:cs="Times New Roman"/>
          <w:lang w:val="en-US"/>
        </w:rPr>
      </w:pPr>
    </w:p>
    <w:p w14:paraId="5F1BB03B"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smallCaps/>
        </w:rPr>
        <w:t>Ruiz Fabri</w:t>
      </w:r>
      <w:r w:rsidRPr="005D6868">
        <w:rPr>
          <w:rFonts w:ascii="Times New Roman" w:hAnsi="Times New Roman" w:cs="Times New Roman"/>
        </w:rPr>
        <w:t xml:space="preserve">, H., «  Le juge de l’OMC : ombres et lumières d’une figure judiciaire singulière », </w:t>
      </w:r>
      <w:r w:rsidRPr="005D6868">
        <w:rPr>
          <w:rFonts w:ascii="Times New Roman" w:hAnsi="Times New Roman" w:cs="Times New Roman"/>
          <w:i/>
        </w:rPr>
        <w:t>RGDIP</w:t>
      </w:r>
      <w:r w:rsidRPr="005D6868">
        <w:rPr>
          <w:rFonts w:ascii="Times New Roman" w:hAnsi="Times New Roman" w:cs="Times New Roman"/>
        </w:rPr>
        <w:t>, 2006, n°1, pp. 62 et s.</w:t>
      </w:r>
    </w:p>
    <w:p w14:paraId="4444B5E1" w14:textId="77777777" w:rsidR="006A3458" w:rsidRPr="005D6868" w:rsidRDefault="006A3458" w:rsidP="00570190">
      <w:pPr>
        <w:spacing w:line="276" w:lineRule="auto"/>
        <w:jc w:val="both"/>
        <w:rPr>
          <w:rFonts w:ascii="Times New Roman" w:hAnsi="Times New Roman" w:cs="Times New Roman"/>
        </w:rPr>
      </w:pPr>
    </w:p>
    <w:p w14:paraId="1B02488A" w14:textId="77777777" w:rsidR="006A3458" w:rsidRPr="005D6868" w:rsidRDefault="006A3458" w:rsidP="00570190">
      <w:pPr>
        <w:pStyle w:val="Notedebasdepage"/>
        <w:spacing w:line="276" w:lineRule="auto"/>
        <w:jc w:val="both"/>
        <w:rPr>
          <w:rFonts w:ascii="Times New Roman" w:hAnsi="Times New Roman" w:cs="Times New Roman"/>
          <w:lang w:val="en-US"/>
        </w:rPr>
      </w:pPr>
      <w:r w:rsidRPr="005D6868">
        <w:rPr>
          <w:rFonts w:ascii="Times New Roman" w:hAnsi="Times New Roman" w:cs="Times New Roman"/>
          <w:smallCaps/>
          <w:lang w:val="en-US"/>
        </w:rPr>
        <w:t>Ruiz Fabri</w:t>
      </w:r>
      <w:r w:rsidRPr="005D6868">
        <w:rPr>
          <w:rFonts w:ascii="Times New Roman" w:hAnsi="Times New Roman" w:cs="Times New Roman"/>
          <w:lang w:val="en-US"/>
        </w:rPr>
        <w:t xml:space="preserve">, H., « Drawing a line of equilibrium in a complex world », in </w:t>
      </w:r>
      <w:r w:rsidRPr="005D6868">
        <w:rPr>
          <w:rFonts w:ascii="Times New Roman" w:hAnsi="Times New Roman" w:cs="Times New Roman"/>
          <w:smallCaps/>
          <w:lang w:val="en-US"/>
        </w:rPr>
        <w:t>G. Sacerdoti</w:t>
      </w:r>
      <w:r w:rsidRPr="005D6868">
        <w:rPr>
          <w:rFonts w:ascii="Times New Roman" w:hAnsi="Times New Roman" w:cs="Times New Roman"/>
          <w:lang w:val="en-US"/>
        </w:rPr>
        <w:t xml:space="preserve">, A. </w:t>
      </w:r>
      <w:r w:rsidRPr="005D6868">
        <w:rPr>
          <w:rFonts w:ascii="Times New Roman" w:hAnsi="Times New Roman" w:cs="Times New Roman"/>
          <w:smallCaps/>
          <w:lang w:val="en-US"/>
        </w:rPr>
        <w:t>Yanovich, J. Bohanes</w:t>
      </w:r>
      <w:r w:rsidRPr="005D6868">
        <w:rPr>
          <w:rFonts w:ascii="Times New Roman" w:hAnsi="Times New Roman" w:cs="Times New Roman"/>
          <w:lang w:val="en-US"/>
        </w:rPr>
        <w:t xml:space="preserve">, The WTO at ten : The Contribution of the Dispute Settlement System, Cambridge, Cambridge University Press, 2006, pp. 125-142 ; </w:t>
      </w:r>
    </w:p>
    <w:p w14:paraId="41A59AC4" w14:textId="77777777" w:rsidR="006A3458" w:rsidRPr="005D6868" w:rsidRDefault="006A3458" w:rsidP="00570190">
      <w:pPr>
        <w:pStyle w:val="Notedebasdepage"/>
        <w:spacing w:line="276" w:lineRule="auto"/>
        <w:jc w:val="both"/>
        <w:rPr>
          <w:rFonts w:ascii="Times New Roman" w:hAnsi="Times New Roman" w:cs="Times New Roman"/>
          <w:lang w:val="nl-NL"/>
        </w:rPr>
      </w:pPr>
    </w:p>
    <w:p w14:paraId="092F39BB"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smallCaps/>
        </w:rPr>
        <w:t>Ruiz Favri</w:t>
      </w:r>
      <w:r w:rsidRPr="005D6868">
        <w:rPr>
          <w:rFonts w:ascii="Times New Roman" w:hAnsi="Times New Roman" w:cs="Times New Roman"/>
        </w:rPr>
        <w:t xml:space="preserve">, H., « L’appel dans le règlement des différends de l’OMC : trois ans après, quinze rapports plus tard », </w:t>
      </w:r>
      <w:r w:rsidRPr="005D6868">
        <w:rPr>
          <w:rFonts w:ascii="Times New Roman" w:hAnsi="Times New Roman" w:cs="Times New Roman"/>
          <w:i/>
        </w:rPr>
        <w:t>RGDIP</w:t>
      </w:r>
      <w:r w:rsidRPr="005D6868">
        <w:rPr>
          <w:rFonts w:ascii="Times New Roman" w:hAnsi="Times New Roman" w:cs="Times New Roman"/>
        </w:rPr>
        <w:t>, 1999, n°1, p. 71.</w:t>
      </w:r>
    </w:p>
    <w:p w14:paraId="73C67D51" w14:textId="77777777" w:rsidR="006A3458" w:rsidRPr="005D6868" w:rsidRDefault="006A3458" w:rsidP="00570190">
      <w:pPr>
        <w:spacing w:line="276" w:lineRule="auto"/>
        <w:jc w:val="both"/>
        <w:rPr>
          <w:rFonts w:ascii="Times New Roman" w:hAnsi="Times New Roman" w:cs="Times New Roman"/>
        </w:rPr>
      </w:pPr>
    </w:p>
    <w:p w14:paraId="20C28A15" w14:textId="77777777" w:rsidR="006A3458" w:rsidRPr="005D6868" w:rsidRDefault="006A3458" w:rsidP="00570190">
      <w:pPr>
        <w:spacing w:line="276" w:lineRule="auto"/>
        <w:jc w:val="both"/>
        <w:rPr>
          <w:rFonts w:ascii="Times New Roman" w:hAnsi="Times New Roman" w:cs="Times New Roman"/>
          <w:lang w:val="en-US"/>
        </w:rPr>
      </w:pPr>
      <w:r w:rsidRPr="005D6868">
        <w:rPr>
          <w:rFonts w:ascii="Times New Roman" w:hAnsi="Times New Roman" w:cs="Times New Roman"/>
          <w:smallCaps/>
          <w:lang w:val="en-US"/>
        </w:rPr>
        <w:t>Ruttley, P., MacVay, I.</w:t>
      </w:r>
      <w:r w:rsidRPr="005D6868">
        <w:rPr>
          <w:rFonts w:ascii="Times New Roman" w:hAnsi="Times New Roman" w:cs="Times New Roman"/>
          <w:lang w:val="en-US"/>
        </w:rPr>
        <w:t xml:space="preserve">, </w:t>
      </w:r>
      <w:r w:rsidRPr="005D6868">
        <w:rPr>
          <w:rFonts w:ascii="Times New Roman" w:hAnsi="Times New Roman" w:cs="Times New Roman"/>
          <w:i/>
          <w:lang w:val="en-US"/>
        </w:rPr>
        <w:t>Liberalism and protectionnism in the world trading system</w:t>
      </w:r>
      <w:r w:rsidRPr="005D6868">
        <w:rPr>
          <w:rFonts w:ascii="Times New Roman" w:hAnsi="Times New Roman" w:cs="Times New Roman"/>
          <w:lang w:val="en-US"/>
        </w:rPr>
        <w:t>, London, Cameron May, 1999.</w:t>
      </w:r>
    </w:p>
    <w:p w14:paraId="623812A1" w14:textId="77777777" w:rsidR="006A3458" w:rsidRPr="005D6868" w:rsidRDefault="006A3458" w:rsidP="00570190">
      <w:pPr>
        <w:spacing w:line="276" w:lineRule="auto"/>
        <w:jc w:val="both"/>
        <w:rPr>
          <w:rFonts w:ascii="Times New Roman" w:hAnsi="Times New Roman" w:cs="Times New Roman"/>
          <w:lang w:val="en-US"/>
        </w:rPr>
      </w:pPr>
    </w:p>
    <w:p w14:paraId="76598B58" w14:textId="6D618C38" w:rsidR="00080648" w:rsidRPr="005D6868" w:rsidRDefault="006A3458" w:rsidP="00080648">
      <w:pPr>
        <w:spacing w:line="276" w:lineRule="auto"/>
        <w:jc w:val="both"/>
        <w:rPr>
          <w:rFonts w:ascii="Times New Roman" w:hAnsi="Times New Roman" w:cs="Times New Roman"/>
          <w:lang w:val="en-US"/>
        </w:rPr>
      </w:pPr>
      <w:r w:rsidRPr="005D6868">
        <w:rPr>
          <w:rFonts w:ascii="Times New Roman" w:hAnsi="Times New Roman" w:cs="Times New Roman"/>
          <w:smallCaps/>
          <w:lang w:val="en-US"/>
        </w:rPr>
        <w:t>Salvatore, D.,</w:t>
      </w:r>
      <w:r w:rsidRPr="005D6868">
        <w:rPr>
          <w:rFonts w:ascii="Times New Roman" w:hAnsi="Times New Roman" w:cs="Times New Roman"/>
          <w:lang w:val="en-US"/>
        </w:rPr>
        <w:t xml:space="preserve"> </w:t>
      </w:r>
      <w:r w:rsidRPr="005D6868">
        <w:rPr>
          <w:rFonts w:ascii="Times New Roman" w:hAnsi="Times New Roman" w:cs="Times New Roman"/>
          <w:i/>
          <w:lang w:val="en-US"/>
        </w:rPr>
        <w:t>Protectionnism and world welfare</w:t>
      </w:r>
      <w:r w:rsidRPr="005D6868">
        <w:rPr>
          <w:rFonts w:ascii="Times New Roman" w:hAnsi="Times New Roman" w:cs="Times New Roman"/>
          <w:lang w:val="en-US"/>
        </w:rPr>
        <w:t>, Cambridge, Cambridge University Press, 1993.</w:t>
      </w:r>
    </w:p>
    <w:p w14:paraId="524D20C7" w14:textId="77777777" w:rsidR="00080648" w:rsidRPr="005D6868" w:rsidRDefault="00080648" w:rsidP="00080648">
      <w:pPr>
        <w:spacing w:line="276" w:lineRule="auto"/>
        <w:jc w:val="both"/>
        <w:rPr>
          <w:rFonts w:ascii="Times New Roman" w:hAnsi="Times New Roman" w:cs="Times New Roman"/>
          <w:lang w:val="en-US"/>
        </w:rPr>
      </w:pPr>
    </w:p>
    <w:p w14:paraId="444D9ACC" w14:textId="73EF4370" w:rsidR="006A3458" w:rsidRPr="005D6868" w:rsidRDefault="00080648" w:rsidP="00080648">
      <w:pPr>
        <w:pStyle w:val="Corpsdetexte3"/>
        <w:numPr>
          <w:ilvl w:val="0"/>
          <w:numId w:val="0"/>
        </w:numPr>
        <w:rPr>
          <w:sz w:val="24"/>
          <w:szCs w:val="24"/>
        </w:rPr>
      </w:pPr>
      <w:r w:rsidRPr="005D6868">
        <w:rPr>
          <w:smallCaps/>
          <w:sz w:val="24"/>
          <w:szCs w:val="24"/>
        </w:rPr>
        <w:t>Sadeleer, N.</w:t>
      </w:r>
      <w:r w:rsidRPr="005D6868">
        <w:rPr>
          <w:sz w:val="24"/>
          <w:szCs w:val="24"/>
        </w:rPr>
        <w:t>, «  les principes pollueur-payeur, de prévention et de précaution: Essai sur la genèse et la portée juridique de quelques principes du droit de l'environnement », Bruyland, Bruxelles, 1999.</w:t>
      </w:r>
    </w:p>
    <w:p w14:paraId="02E96440" w14:textId="77777777" w:rsidR="00080648" w:rsidRPr="005D6868" w:rsidRDefault="00080648" w:rsidP="00570190">
      <w:pPr>
        <w:spacing w:line="276" w:lineRule="auto"/>
        <w:jc w:val="both"/>
        <w:rPr>
          <w:rFonts w:ascii="Times New Roman" w:hAnsi="Times New Roman" w:cs="Times New Roman"/>
          <w:lang w:val="en-US"/>
        </w:rPr>
      </w:pPr>
    </w:p>
    <w:p w14:paraId="7038569A"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smallCaps/>
        </w:rPr>
        <w:t>Schnerb, R.,</w:t>
      </w:r>
      <w:r w:rsidRPr="005D6868">
        <w:rPr>
          <w:rFonts w:ascii="Times New Roman" w:hAnsi="Times New Roman" w:cs="Times New Roman"/>
        </w:rPr>
        <w:t xml:space="preserve"> </w:t>
      </w:r>
      <w:r w:rsidRPr="005D6868">
        <w:rPr>
          <w:rFonts w:ascii="Times New Roman" w:hAnsi="Times New Roman" w:cs="Times New Roman"/>
          <w:i/>
        </w:rPr>
        <w:t>Libre-échange et protectionnisme</w:t>
      </w:r>
      <w:r w:rsidRPr="005D6868">
        <w:rPr>
          <w:rFonts w:ascii="Times New Roman" w:hAnsi="Times New Roman" w:cs="Times New Roman"/>
        </w:rPr>
        <w:t>, Paris, Presse universitaire de France, 1963.</w:t>
      </w:r>
    </w:p>
    <w:p w14:paraId="3C5F51A0" w14:textId="77777777" w:rsidR="006A3458" w:rsidRPr="005D6868" w:rsidRDefault="006A3458" w:rsidP="00570190">
      <w:pPr>
        <w:spacing w:line="276" w:lineRule="auto"/>
        <w:jc w:val="both"/>
        <w:rPr>
          <w:rFonts w:ascii="Times New Roman" w:hAnsi="Times New Roman" w:cs="Times New Roman"/>
        </w:rPr>
      </w:pPr>
    </w:p>
    <w:p w14:paraId="2FCB2E62"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smallCaps/>
        </w:rPr>
        <w:t>Silem, A.,</w:t>
      </w:r>
      <w:r w:rsidRPr="005D6868">
        <w:rPr>
          <w:rFonts w:ascii="Times New Roman" w:hAnsi="Times New Roman" w:cs="Times New Roman"/>
        </w:rPr>
        <w:t xml:space="preserve"> </w:t>
      </w:r>
      <w:r w:rsidRPr="005D6868">
        <w:rPr>
          <w:rFonts w:ascii="Times New Roman" w:hAnsi="Times New Roman" w:cs="Times New Roman"/>
          <w:i/>
        </w:rPr>
        <w:t>Lexique d’économie</w:t>
      </w:r>
      <w:r w:rsidRPr="005D6868">
        <w:rPr>
          <w:rFonts w:ascii="Times New Roman" w:hAnsi="Times New Roman" w:cs="Times New Roman"/>
        </w:rPr>
        <w:t xml:space="preserve">, Paris, Dalloz, 2012. </w:t>
      </w:r>
    </w:p>
    <w:p w14:paraId="20BF357A" w14:textId="77777777" w:rsidR="006A3458" w:rsidRPr="005D6868" w:rsidRDefault="006A3458" w:rsidP="00570190">
      <w:pPr>
        <w:spacing w:line="276" w:lineRule="auto"/>
        <w:jc w:val="both"/>
        <w:rPr>
          <w:rFonts w:ascii="Times New Roman" w:hAnsi="Times New Roman" w:cs="Times New Roman"/>
        </w:rPr>
      </w:pPr>
    </w:p>
    <w:p w14:paraId="627354EC" w14:textId="77777777" w:rsidR="006A3458" w:rsidRPr="005D6868" w:rsidRDefault="006A3458" w:rsidP="00570190">
      <w:pPr>
        <w:spacing w:line="276" w:lineRule="auto"/>
        <w:jc w:val="both"/>
        <w:rPr>
          <w:rFonts w:ascii="Times New Roman" w:hAnsi="Times New Roman" w:cs="Times New Roman"/>
          <w:lang w:val="en-US"/>
        </w:rPr>
      </w:pPr>
      <w:r w:rsidRPr="005D6868">
        <w:rPr>
          <w:rFonts w:ascii="Times New Roman" w:hAnsi="Times New Roman" w:cs="Times New Roman"/>
          <w:smallCaps/>
          <w:lang w:val="en-US"/>
        </w:rPr>
        <w:t>Sinha, A.,</w:t>
      </w:r>
      <w:r w:rsidRPr="005D6868">
        <w:rPr>
          <w:rFonts w:ascii="Times New Roman" w:hAnsi="Times New Roman" w:cs="Times New Roman"/>
          <w:lang w:val="en-US"/>
        </w:rPr>
        <w:t xml:space="preserve"> </w:t>
      </w:r>
      <w:r w:rsidRPr="005D6868">
        <w:rPr>
          <w:rFonts w:ascii="Times New Roman" w:hAnsi="Times New Roman" w:cs="Times New Roman"/>
          <w:i/>
          <w:lang w:val="en-US"/>
        </w:rPr>
        <w:t>Theories of values from Adam Smith to Piero Sraffa</w:t>
      </w:r>
      <w:r w:rsidRPr="005D6868">
        <w:rPr>
          <w:rFonts w:ascii="Times New Roman" w:hAnsi="Times New Roman" w:cs="Times New Roman"/>
          <w:lang w:val="en-US"/>
        </w:rPr>
        <w:t xml:space="preserve">, London, Routledge, 2010. </w:t>
      </w:r>
    </w:p>
    <w:p w14:paraId="7D8DC623" w14:textId="77777777" w:rsidR="006A3458" w:rsidRPr="005D6868" w:rsidRDefault="006A3458" w:rsidP="00570190">
      <w:pPr>
        <w:spacing w:line="276" w:lineRule="auto"/>
        <w:jc w:val="both"/>
        <w:rPr>
          <w:rFonts w:ascii="Times New Roman" w:hAnsi="Times New Roman" w:cs="Times New Roman"/>
          <w:lang w:val="en-US"/>
        </w:rPr>
      </w:pPr>
    </w:p>
    <w:p w14:paraId="42F715D7" w14:textId="77777777" w:rsidR="006A3458" w:rsidRPr="005D6868" w:rsidRDefault="006A3458" w:rsidP="00570190">
      <w:pPr>
        <w:spacing w:line="276" w:lineRule="auto"/>
        <w:jc w:val="both"/>
        <w:rPr>
          <w:rFonts w:ascii="Times New Roman" w:hAnsi="Times New Roman" w:cs="Times New Roman"/>
          <w:lang w:val="en-US"/>
        </w:rPr>
      </w:pPr>
      <w:r w:rsidRPr="005D6868">
        <w:rPr>
          <w:rFonts w:ascii="Times New Roman" w:hAnsi="Times New Roman" w:cs="Times New Roman"/>
          <w:smallCaps/>
          <w:lang w:val="en-US"/>
        </w:rPr>
        <w:t>Smith, A</w:t>
      </w:r>
      <w:r w:rsidRPr="005D6868">
        <w:rPr>
          <w:rFonts w:ascii="Times New Roman" w:hAnsi="Times New Roman" w:cs="Times New Roman"/>
          <w:lang w:val="en-US"/>
        </w:rPr>
        <w:t xml:space="preserve">., </w:t>
      </w:r>
      <w:r w:rsidRPr="005D6868">
        <w:rPr>
          <w:rFonts w:ascii="Times New Roman" w:hAnsi="Times New Roman" w:cs="Times New Roman"/>
          <w:i/>
          <w:lang w:val="en-US"/>
        </w:rPr>
        <w:t>The correspondance of Adam Smith</w:t>
      </w:r>
      <w:r w:rsidRPr="005D6868">
        <w:rPr>
          <w:rFonts w:ascii="Times New Roman" w:hAnsi="Times New Roman" w:cs="Times New Roman"/>
          <w:lang w:val="en-US"/>
        </w:rPr>
        <w:t>, 2</w:t>
      </w:r>
      <w:r w:rsidRPr="005D6868">
        <w:rPr>
          <w:rFonts w:ascii="Times New Roman" w:hAnsi="Times New Roman" w:cs="Times New Roman"/>
          <w:vertAlign w:val="superscript"/>
          <w:lang w:val="en-US"/>
        </w:rPr>
        <w:t>e</w:t>
      </w:r>
      <w:r w:rsidRPr="005D6868">
        <w:rPr>
          <w:rFonts w:ascii="Times New Roman" w:hAnsi="Times New Roman" w:cs="Times New Roman"/>
          <w:lang w:val="en-US"/>
        </w:rPr>
        <w:t xml:space="preserve"> edition, Oxford, Clarendon, 1987. (464)</w:t>
      </w:r>
    </w:p>
    <w:p w14:paraId="1C0DACF4" w14:textId="77777777" w:rsidR="006A3458" w:rsidRPr="005D6868" w:rsidRDefault="006A3458" w:rsidP="00570190">
      <w:pPr>
        <w:spacing w:line="276" w:lineRule="auto"/>
        <w:jc w:val="both"/>
        <w:rPr>
          <w:rFonts w:ascii="Times New Roman" w:hAnsi="Times New Roman" w:cs="Times New Roman"/>
          <w:lang w:val="en-US"/>
        </w:rPr>
      </w:pPr>
    </w:p>
    <w:p w14:paraId="53B0C9EE"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smallCaps/>
        </w:rPr>
        <w:t>Stern, B</w:t>
      </w:r>
      <w:r w:rsidRPr="005D6868">
        <w:rPr>
          <w:rFonts w:ascii="Times New Roman" w:hAnsi="Times New Roman" w:cs="Times New Roman"/>
        </w:rPr>
        <w:t>., « Etats-Unis – Prohibition à l’importation de certaines crevettes et de certains produits à base de crevettes », pp. 65 à 151.</w:t>
      </w:r>
    </w:p>
    <w:p w14:paraId="403F9FA1" w14:textId="77777777" w:rsidR="006A3458" w:rsidRPr="005D6868" w:rsidRDefault="006A3458" w:rsidP="00570190">
      <w:pPr>
        <w:spacing w:line="276" w:lineRule="auto"/>
        <w:jc w:val="both"/>
        <w:rPr>
          <w:rFonts w:ascii="Times New Roman" w:hAnsi="Times New Roman" w:cs="Times New Roman"/>
        </w:rPr>
      </w:pPr>
    </w:p>
    <w:p w14:paraId="63DBBA1B" w14:textId="77777777" w:rsidR="006A3458" w:rsidRPr="005D6868" w:rsidRDefault="006A3458" w:rsidP="00570190">
      <w:pPr>
        <w:spacing w:line="276" w:lineRule="auto"/>
        <w:jc w:val="both"/>
        <w:rPr>
          <w:rFonts w:ascii="Times New Roman" w:hAnsi="Times New Roman" w:cs="Times New Roman"/>
          <w:lang w:val="en-US"/>
        </w:rPr>
      </w:pPr>
      <w:r w:rsidRPr="005D6868">
        <w:rPr>
          <w:rFonts w:ascii="Times New Roman" w:hAnsi="Times New Roman" w:cs="Times New Roman"/>
          <w:smallCaps/>
          <w:lang w:val="en-US"/>
        </w:rPr>
        <w:t>Stern, B., Ruiz Fabri, H.</w:t>
      </w:r>
      <w:r w:rsidRPr="005D6868">
        <w:rPr>
          <w:rFonts w:ascii="Times New Roman" w:hAnsi="Times New Roman" w:cs="Times New Roman"/>
          <w:lang w:val="en-US"/>
        </w:rPr>
        <w:t xml:space="preserve">, </w:t>
      </w:r>
      <w:r w:rsidRPr="005D6868">
        <w:rPr>
          <w:rFonts w:ascii="Times New Roman" w:hAnsi="Times New Roman" w:cs="Times New Roman"/>
          <w:i/>
          <w:lang w:val="en-US"/>
        </w:rPr>
        <w:t>The Case-Law of the WTO, La jurisprudence de l’OMC, 1996-1997</w:t>
      </w:r>
      <w:r w:rsidRPr="005D6868">
        <w:rPr>
          <w:rFonts w:ascii="Times New Roman" w:hAnsi="Times New Roman" w:cs="Times New Roman"/>
          <w:lang w:val="en-US"/>
        </w:rPr>
        <w:t xml:space="preserve">, Nijhoff, Leiden, 2004. (Essence) </w:t>
      </w:r>
    </w:p>
    <w:p w14:paraId="7F7F76BF" w14:textId="77777777" w:rsidR="006A3458" w:rsidRPr="005D6868" w:rsidRDefault="006A3458" w:rsidP="00570190">
      <w:pPr>
        <w:spacing w:line="276" w:lineRule="auto"/>
        <w:jc w:val="both"/>
        <w:rPr>
          <w:rFonts w:ascii="Times New Roman" w:hAnsi="Times New Roman" w:cs="Times New Roman"/>
          <w:lang w:val="en-US"/>
        </w:rPr>
      </w:pPr>
    </w:p>
    <w:p w14:paraId="57FB6E87" w14:textId="77777777" w:rsidR="006A3458" w:rsidRPr="005D6868" w:rsidRDefault="006A3458" w:rsidP="00570190">
      <w:pPr>
        <w:spacing w:line="276" w:lineRule="auto"/>
        <w:jc w:val="both"/>
        <w:rPr>
          <w:rFonts w:ascii="Times New Roman" w:hAnsi="Times New Roman" w:cs="Times New Roman"/>
        </w:rPr>
      </w:pPr>
      <w:r w:rsidRPr="005D6868">
        <w:rPr>
          <w:rFonts w:ascii="Times New Roman" w:hAnsi="Times New Roman" w:cs="Times New Roman"/>
          <w:smallCaps/>
          <w:lang w:val="en-US"/>
        </w:rPr>
        <w:t>Stern, B., Ruiz Fabri, H.</w:t>
      </w:r>
      <w:r w:rsidRPr="005D6868">
        <w:rPr>
          <w:rFonts w:ascii="Times New Roman" w:hAnsi="Times New Roman" w:cs="Times New Roman"/>
          <w:lang w:val="en-US"/>
        </w:rPr>
        <w:t xml:space="preserve">, </w:t>
      </w:r>
      <w:r w:rsidRPr="005D6868">
        <w:rPr>
          <w:rFonts w:ascii="Times New Roman" w:hAnsi="Times New Roman" w:cs="Times New Roman"/>
          <w:i/>
          <w:lang w:val="en-US"/>
        </w:rPr>
        <w:t>The Case-Law of the WTO, La jurisprudence de l’OMC, 1998</w:t>
      </w:r>
      <w:r w:rsidRPr="005D6868">
        <w:rPr>
          <w:rFonts w:ascii="Times New Roman" w:hAnsi="Times New Roman" w:cs="Times New Roman"/>
          <w:lang w:val="en-US"/>
        </w:rPr>
        <w:t xml:space="preserve">, Nijhoff, Leiden, 2005. </w:t>
      </w:r>
      <w:r w:rsidRPr="005D6868">
        <w:rPr>
          <w:rFonts w:ascii="Times New Roman" w:hAnsi="Times New Roman" w:cs="Times New Roman"/>
        </w:rPr>
        <w:t xml:space="preserve">( Crevettes) </w:t>
      </w:r>
    </w:p>
    <w:p w14:paraId="63CC15AB" w14:textId="77777777" w:rsidR="006A3458" w:rsidRPr="005D6868" w:rsidRDefault="006A3458" w:rsidP="00570190">
      <w:pPr>
        <w:spacing w:line="276" w:lineRule="auto"/>
        <w:jc w:val="both"/>
        <w:rPr>
          <w:rFonts w:ascii="Times New Roman" w:hAnsi="Times New Roman" w:cs="Times New Roman"/>
        </w:rPr>
      </w:pPr>
    </w:p>
    <w:p w14:paraId="27683F27" w14:textId="77777777" w:rsidR="006A3458" w:rsidRPr="005D6868" w:rsidRDefault="006A3458" w:rsidP="00570190">
      <w:pPr>
        <w:pStyle w:val="Notedebasdepage"/>
        <w:spacing w:line="276" w:lineRule="auto"/>
        <w:jc w:val="both"/>
        <w:rPr>
          <w:rFonts w:ascii="Times New Roman" w:hAnsi="Times New Roman" w:cs="Times New Roman"/>
          <w:lang w:val="nl-NL"/>
        </w:rPr>
      </w:pPr>
      <w:r w:rsidRPr="005D6868">
        <w:rPr>
          <w:rFonts w:ascii="Times New Roman" w:hAnsi="Times New Roman" w:cs="Times New Roman"/>
          <w:smallCaps/>
          <w:lang w:val="nl-NL"/>
        </w:rPr>
        <w:t>Truilhé</w:t>
      </w:r>
      <w:r w:rsidRPr="005D6868">
        <w:rPr>
          <w:rFonts w:ascii="Times New Roman" w:hAnsi="Times New Roman" w:cs="Times New Roman"/>
          <w:lang w:val="nl-NL"/>
        </w:rPr>
        <w:t xml:space="preserve">, E., “Les règles relatives à la preuve: quelle place pour l’incertitude scientifique?”, in </w:t>
      </w:r>
      <w:r w:rsidRPr="005D6868">
        <w:rPr>
          <w:rFonts w:ascii="Times New Roman" w:hAnsi="Times New Roman" w:cs="Times New Roman"/>
          <w:smallCaps/>
          <w:lang w:val="nl-NL"/>
        </w:rPr>
        <w:t xml:space="preserve">S. Maljean-Dubois </w:t>
      </w:r>
      <w:r w:rsidRPr="005D6868">
        <w:rPr>
          <w:rFonts w:ascii="Times New Roman" w:hAnsi="Times New Roman" w:cs="Times New Roman"/>
          <w:lang w:val="nl-NL"/>
        </w:rPr>
        <w:t xml:space="preserve">( dirc.), </w:t>
      </w:r>
      <w:r w:rsidRPr="005D6868">
        <w:rPr>
          <w:rFonts w:ascii="Times New Roman" w:hAnsi="Times New Roman" w:cs="Times New Roman"/>
          <w:i/>
          <w:lang w:val="nl-NL"/>
        </w:rPr>
        <w:t>Droit de l’Organisation Mondiale du Commerce et protection de l’environnement</w:t>
      </w:r>
      <w:r w:rsidRPr="005D6868">
        <w:rPr>
          <w:rFonts w:ascii="Times New Roman" w:hAnsi="Times New Roman" w:cs="Times New Roman"/>
          <w:lang w:val="nl-NL"/>
        </w:rPr>
        <w:t>, Bruxelles, Bruylant, pp. 449-451.</w:t>
      </w:r>
    </w:p>
    <w:p w14:paraId="654B8293" w14:textId="77777777" w:rsidR="006A3458" w:rsidRPr="005D6868" w:rsidRDefault="006A3458" w:rsidP="00570190">
      <w:pPr>
        <w:pStyle w:val="Notedebasdepage"/>
        <w:spacing w:line="276" w:lineRule="auto"/>
        <w:jc w:val="both"/>
        <w:rPr>
          <w:rFonts w:ascii="Times New Roman" w:hAnsi="Times New Roman" w:cs="Times New Roman"/>
          <w:lang w:val="nl-NL"/>
        </w:rPr>
      </w:pPr>
    </w:p>
    <w:p w14:paraId="1CDD1F37" w14:textId="77777777" w:rsidR="006A3458" w:rsidRPr="005D6868" w:rsidRDefault="006A3458" w:rsidP="00570190">
      <w:pPr>
        <w:widowControl w:val="0"/>
        <w:autoSpaceDE w:val="0"/>
        <w:autoSpaceDN w:val="0"/>
        <w:adjustRightInd w:val="0"/>
        <w:spacing w:line="276" w:lineRule="auto"/>
        <w:jc w:val="both"/>
        <w:rPr>
          <w:rFonts w:ascii="Times New Roman" w:hAnsi="Times New Roman" w:cs="Times New Roman"/>
          <w:lang w:val="en-US"/>
        </w:rPr>
      </w:pPr>
      <w:r w:rsidRPr="005D6868">
        <w:rPr>
          <w:rFonts w:ascii="Times New Roman" w:hAnsi="Times New Roman" w:cs="Times New Roman"/>
          <w:smallCaps/>
          <w:lang w:val="en-US"/>
        </w:rPr>
        <w:t>Van Calster</w:t>
      </w:r>
      <w:r w:rsidRPr="005D6868">
        <w:rPr>
          <w:rFonts w:ascii="Times New Roman" w:hAnsi="Times New Roman" w:cs="Times New Roman"/>
          <w:lang w:val="en-US"/>
        </w:rPr>
        <w:t>, G., « International and EU Trade Law : The environmental Challenge », International Law and Policy, London, Cameron May, 2000.</w:t>
      </w:r>
    </w:p>
    <w:p w14:paraId="6A034457" w14:textId="77777777" w:rsidR="006A3458" w:rsidRPr="005D6868" w:rsidRDefault="006A3458" w:rsidP="00570190">
      <w:pPr>
        <w:widowControl w:val="0"/>
        <w:autoSpaceDE w:val="0"/>
        <w:autoSpaceDN w:val="0"/>
        <w:adjustRightInd w:val="0"/>
        <w:spacing w:line="276" w:lineRule="auto"/>
        <w:jc w:val="both"/>
        <w:rPr>
          <w:rFonts w:ascii="Times New Roman" w:hAnsi="Times New Roman" w:cs="Times New Roman"/>
          <w:lang w:val="en-US"/>
        </w:rPr>
      </w:pPr>
    </w:p>
    <w:p w14:paraId="1A61A2C3" w14:textId="77777777" w:rsidR="006A3458" w:rsidRPr="005D6868" w:rsidRDefault="006A3458" w:rsidP="00570190">
      <w:pPr>
        <w:spacing w:line="276" w:lineRule="auto"/>
        <w:jc w:val="both"/>
        <w:rPr>
          <w:rFonts w:ascii="Times New Roman" w:hAnsi="Times New Roman" w:cs="Times New Roman"/>
          <w:lang w:val="en-US"/>
        </w:rPr>
      </w:pPr>
      <w:r w:rsidRPr="005D6868">
        <w:rPr>
          <w:rFonts w:ascii="Times New Roman" w:hAnsi="Times New Roman" w:cs="Times New Roman"/>
          <w:smallCaps/>
          <w:lang w:val="en-US"/>
        </w:rPr>
        <w:t>Van den Bossche</w:t>
      </w:r>
      <w:r w:rsidRPr="005D6868">
        <w:rPr>
          <w:rFonts w:ascii="Times New Roman" w:hAnsi="Times New Roman" w:cs="Times New Roman"/>
          <w:lang w:val="en-US"/>
        </w:rPr>
        <w:t xml:space="preserve">, P. et </w:t>
      </w:r>
      <w:r w:rsidRPr="005D6868">
        <w:rPr>
          <w:rFonts w:ascii="Times New Roman" w:hAnsi="Times New Roman" w:cs="Times New Roman"/>
          <w:smallCaps/>
          <w:lang w:val="en-US"/>
        </w:rPr>
        <w:t xml:space="preserve"> Zdouc</w:t>
      </w:r>
      <w:r w:rsidRPr="005D6868">
        <w:rPr>
          <w:rFonts w:ascii="Times New Roman" w:hAnsi="Times New Roman" w:cs="Times New Roman"/>
          <w:lang w:val="en-US"/>
        </w:rPr>
        <w:t xml:space="preserve">, W., </w:t>
      </w:r>
      <w:r w:rsidRPr="005D6868">
        <w:rPr>
          <w:rFonts w:ascii="Times New Roman" w:hAnsi="Times New Roman" w:cs="Times New Roman"/>
          <w:i/>
          <w:lang w:val="en-US"/>
        </w:rPr>
        <w:t>The Law and Policy of the World Trade Organization</w:t>
      </w:r>
      <w:r w:rsidRPr="005D6868">
        <w:rPr>
          <w:rFonts w:ascii="Times New Roman" w:hAnsi="Times New Roman" w:cs="Times New Roman"/>
          <w:lang w:val="en-US"/>
        </w:rPr>
        <w:t>, 3</w:t>
      </w:r>
      <w:r w:rsidRPr="005D6868">
        <w:rPr>
          <w:rFonts w:ascii="Times New Roman" w:hAnsi="Times New Roman" w:cs="Times New Roman"/>
          <w:vertAlign w:val="superscript"/>
          <w:lang w:val="en-US"/>
        </w:rPr>
        <w:t>e</w:t>
      </w:r>
      <w:r w:rsidRPr="005D6868">
        <w:rPr>
          <w:rFonts w:ascii="Times New Roman" w:hAnsi="Times New Roman" w:cs="Times New Roman"/>
          <w:lang w:val="en-US"/>
        </w:rPr>
        <w:t>edition, Cambridge, Cambridge Press University, 2003.</w:t>
      </w:r>
    </w:p>
    <w:p w14:paraId="2EADCE8F" w14:textId="77777777" w:rsidR="006A3458" w:rsidRPr="005D6868" w:rsidRDefault="006A3458" w:rsidP="00570190">
      <w:pPr>
        <w:spacing w:line="276" w:lineRule="auto"/>
        <w:jc w:val="both"/>
        <w:rPr>
          <w:rFonts w:ascii="Times New Roman" w:hAnsi="Times New Roman" w:cs="Times New Roman"/>
          <w:lang w:val="en-US"/>
        </w:rPr>
      </w:pPr>
    </w:p>
    <w:p w14:paraId="5CDA14DF" w14:textId="77777777" w:rsidR="006A3458" w:rsidRPr="005D6868" w:rsidRDefault="006A3458" w:rsidP="00570190">
      <w:pPr>
        <w:spacing w:line="276" w:lineRule="auto"/>
        <w:jc w:val="both"/>
        <w:rPr>
          <w:rFonts w:ascii="Times New Roman" w:hAnsi="Times New Roman" w:cs="Times New Roman"/>
          <w:lang w:val="en-US"/>
        </w:rPr>
      </w:pPr>
      <w:r w:rsidRPr="005D6868">
        <w:rPr>
          <w:rFonts w:ascii="Times New Roman" w:hAnsi="Times New Roman" w:cs="Times New Roman"/>
          <w:smallCaps/>
          <w:lang w:val="en-US"/>
        </w:rPr>
        <w:t>Vivenza</w:t>
      </w:r>
      <w:r w:rsidRPr="005D6868">
        <w:rPr>
          <w:rFonts w:ascii="Times New Roman" w:hAnsi="Times New Roman" w:cs="Times New Roman"/>
          <w:lang w:val="en-US"/>
        </w:rPr>
        <w:t xml:space="preserve">, G., </w:t>
      </w:r>
      <w:r w:rsidRPr="005D6868">
        <w:rPr>
          <w:rFonts w:ascii="Times New Roman" w:hAnsi="Times New Roman" w:cs="Times New Roman"/>
          <w:i/>
          <w:lang w:val="en-US"/>
        </w:rPr>
        <w:t>Adam Smith and the classics : the classical heritage in Adam Smith’s thought, Oxford</w:t>
      </w:r>
      <w:r w:rsidRPr="005D6868">
        <w:rPr>
          <w:rFonts w:ascii="Times New Roman" w:hAnsi="Times New Roman" w:cs="Times New Roman"/>
          <w:lang w:val="en-US"/>
        </w:rPr>
        <w:t xml:space="preserve">, Oxford University press, 2001. </w:t>
      </w:r>
    </w:p>
    <w:p w14:paraId="355F8F72" w14:textId="77777777" w:rsidR="006A3458" w:rsidRPr="005D6868" w:rsidRDefault="006A3458" w:rsidP="00570190">
      <w:pPr>
        <w:spacing w:line="276" w:lineRule="auto"/>
        <w:jc w:val="both"/>
        <w:rPr>
          <w:rFonts w:ascii="Times New Roman" w:hAnsi="Times New Roman" w:cs="Times New Roman"/>
          <w:lang w:val="en-US"/>
        </w:rPr>
      </w:pPr>
    </w:p>
    <w:p w14:paraId="2E0ED97D" w14:textId="77777777" w:rsidR="006A3458" w:rsidRPr="005D6868" w:rsidRDefault="006A3458" w:rsidP="00570190">
      <w:pPr>
        <w:spacing w:line="276" w:lineRule="auto"/>
        <w:jc w:val="both"/>
        <w:rPr>
          <w:rFonts w:ascii="Times New Roman" w:hAnsi="Times New Roman" w:cs="Times New Roman"/>
          <w:lang w:val="en-US"/>
        </w:rPr>
      </w:pPr>
      <w:r w:rsidRPr="005D6868">
        <w:rPr>
          <w:rFonts w:ascii="Times New Roman" w:hAnsi="Times New Roman" w:cs="Times New Roman"/>
          <w:smallCaps/>
          <w:lang w:val="en-US"/>
        </w:rPr>
        <w:t>Vousden, N.,</w:t>
      </w:r>
      <w:r w:rsidRPr="005D6868">
        <w:rPr>
          <w:rFonts w:ascii="Times New Roman" w:hAnsi="Times New Roman" w:cs="Times New Roman"/>
          <w:lang w:val="en-US"/>
        </w:rPr>
        <w:t xml:space="preserve"> </w:t>
      </w:r>
      <w:r w:rsidRPr="005D6868">
        <w:rPr>
          <w:rFonts w:ascii="Times New Roman" w:hAnsi="Times New Roman" w:cs="Times New Roman"/>
          <w:i/>
          <w:lang w:val="en-US"/>
        </w:rPr>
        <w:t>The economics of trade protection</w:t>
      </w:r>
      <w:r w:rsidRPr="005D6868">
        <w:rPr>
          <w:rFonts w:ascii="Times New Roman" w:hAnsi="Times New Roman" w:cs="Times New Roman"/>
          <w:lang w:val="en-US"/>
        </w:rPr>
        <w:t>, Cambridge, Cambridge University Press, 1990.</w:t>
      </w:r>
    </w:p>
    <w:p w14:paraId="0ABA586B" w14:textId="77777777" w:rsidR="006A3458" w:rsidRPr="005D6868" w:rsidRDefault="006A3458" w:rsidP="00570190">
      <w:pPr>
        <w:spacing w:line="276" w:lineRule="auto"/>
        <w:jc w:val="both"/>
        <w:rPr>
          <w:rFonts w:ascii="Times New Roman" w:hAnsi="Times New Roman" w:cs="Times New Roman"/>
          <w:lang w:val="nl-NL"/>
        </w:rPr>
      </w:pPr>
      <w:r w:rsidRPr="005D6868">
        <w:rPr>
          <w:rFonts w:ascii="Times New Roman" w:hAnsi="Times New Roman" w:cs="Times New Roman"/>
          <w:smallCaps/>
          <w:lang w:val="nl-NL"/>
        </w:rPr>
        <w:t>Warêgne</w:t>
      </w:r>
      <w:r w:rsidRPr="005D6868">
        <w:rPr>
          <w:rFonts w:ascii="Times New Roman" w:hAnsi="Times New Roman" w:cs="Times New Roman"/>
          <w:lang w:val="nl-NL"/>
        </w:rPr>
        <w:t xml:space="preserve">, </w:t>
      </w:r>
      <w:r w:rsidRPr="005D6868">
        <w:rPr>
          <w:rFonts w:ascii="Times New Roman" w:hAnsi="Times New Roman" w:cs="Times New Roman"/>
          <w:smallCaps/>
          <w:lang w:val="nl-NL"/>
        </w:rPr>
        <w:t>J.-P.,</w:t>
      </w:r>
      <w:r w:rsidRPr="005D6868">
        <w:rPr>
          <w:rFonts w:ascii="Times New Roman" w:hAnsi="Times New Roman" w:cs="Times New Roman"/>
          <w:lang w:val="nl-NL"/>
        </w:rPr>
        <w:t xml:space="preserve"> </w:t>
      </w:r>
      <w:r w:rsidRPr="005D6868">
        <w:rPr>
          <w:rFonts w:ascii="Times New Roman" w:hAnsi="Times New Roman" w:cs="Times New Roman"/>
          <w:i/>
          <w:lang w:val="nl-NL"/>
        </w:rPr>
        <w:t>L’Organisation mondiale du commerce et le différend du boeuf aux hormones</w:t>
      </w:r>
      <w:r w:rsidRPr="005D6868">
        <w:rPr>
          <w:rFonts w:ascii="Times New Roman" w:hAnsi="Times New Roman" w:cs="Times New Roman"/>
          <w:lang w:val="nl-NL"/>
        </w:rPr>
        <w:t>, Centre de recherche et d’information socio-politiques, Courrier hebdomadaire, n°1658-1659, 1999.</w:t>
      </w:r>
    </w:p>
    <w:p w14:paraId="29DEC9B4" w14:textId="77777777" w:rsidR="006A3458" w:rsidRPr="005D6868" w:rsidRDefault="006A3458" w:rsidP="00570190">
      <w:pPr>
        <w:spacing w:line="276" w:lineRule="auto"/>
        <w:jc w:val="both"/>
        <w:rPr>
          <w:rFonts w:ascii="Times New Roman" w:hAnsi="Times New Roman" w:cs="Times New Roman"/>
        </w:rPr>
      </w:pPr>
    </w:p>
    <w:p w14:paraId="62ECC725" w14:textId="77777777" w:rsidR="006A3458" w:rsidRPr="005D6868" w:rsidRDefault="006A3458" w:rsidP="00570190">
      <w:pPr>
        <w:pStyle w:val="Notedebasdepage"/>
        <w:spacing w:line="276" w:lineRule="auto"/>
        <w:jc w:val="both"/>
        <w:rPr>
          <w:rFonts w:ascii="Times New Roman" w:hAnsi="Times New Roman" w:cs="Times New Roman"/>
          <w:lang w:val="en-US"/>
        </w:rPr>
      </w:pPr>
      <w:r w:rsidRPr="005D6868">
        <w:rPr>
          <w:rFonts w:ascii="Times New Roman" w:hAnsi="Times New Roman" w:cs="Times New Roman"/>
          <w:lang w:val="en-US"/>
        </w:rPr>
        <w:t xml:space="preserve">World Trade Organization, </w:t>
      </w:r>
      <w:r w:rsidRPr="005D6868">
        <w:rPr>
          <w:rFonts w:ascii="Times New Roman" w:hAnsi="Times New Roman" w:cs="Times New Roman"/>
          <w:i/>
          <w:lang w:val="en-US"/>
        </w:rPr>
        <w:t>WTO Analytical Index, Guide to WTO Law and Practice</w:t>
      </w:r>
      <w:r w:rsidRPr="005D6868">
        <w:rPr>
          <w:rFonts w:ascii="Times New Roman" w:hAnsi="Times New Roman" w:cs="Times New Roman"/>
          <w:lang w:val="en-US"/>
        </w:rPr>
        <w:t>, Cambridge, Cambridge University Press, 2</w:t>
      </w:r>
      <w:r w:rsidRPr="005D6868">
        <w:rPr>
          <w:rFonts w:ascii="Times New Roman" w:hAnsi="Times New Roman" w:cs="Times New Roman"/>
          <w:vertAlign w:val="superscript"/>
          <w:lang w:val="en-US"/>
        </w:rPr>
        <w:t>e</w:t>
      </w:r>
      <w:r w:rsidRPr="005D6868">
        <w:rPr>
          <w:rFonts w:ascii="Times New Roman" w:hAnsi="Times New Roman" w:cs="Times New Roman"/>
          <w:lang w:val="en-US"/>
        </w:rPr>
        <w:t xml:space="preserve"> edition, Vol. 1., 2007, p. 294.</w:t>
      </w:r>
    </w:p>
    <w:p w14:paraId="30A0BE98" w14:textId="77777777" w:rsidR="006A3458" w:rsidRPr="005D6868" w:rsidRDefault="006A3458" w:rsidP="00570190">
      <w:pPr>
        <w:pStyle w:val="Notedebasdepage"/>
        <w:spacing w:line="276" w:lineRule="auto"/>
        <w:jc w:val="both"/>
        <w:rPr>
          <w:rFonts w:ascii="Times New Roman" w:hAnsi="Times New Roman" w:cs="Times New Roman"/>
          <w:smallCaps/>
          <w:lang w:val="en-US"/>
        </w:rPr>
      </w:pPr>
    </w:p>
    <w:p w14:paraId="21BC9321" w14:textId="77777777" w:rsidR="006A3458" w:rsidRPr="005D6868" w:rsidRDefault="006A3458" w:rsidP="00570190">
      <w:pPr>
        <w:spacing w:line="276" w:lineRule="auto"/>
        <w:jc w:val="both"/>
        <w:rPr>
          <w:rFonts w:ascii="Times New Roman" w:hAnsi="Times New Roman" w:cs="Times New Roman"/>
          <w:lang w:val="en-US"/>
        </w:rPr>
      </w:pPr>
      <w:r w:rsidRPr="005D6868">
        <w:rPr>
          <w:rFonts w:ascii="Times New Roman" w:hAnsi="Times New Roman" w:cs="Times New Roman"/>
          <w:lang w:val="en-US"/>
        </w:rPr>
        <w:t xml:space="preserve">World Trade Organization, </w:t>
      </w:r>
      <w:r w:rsidRPr="005D6868">
        <w:rPr>
          <w:rFonts w:ascii="Times New Roman" w:hAnsi="Times New Roman" w:cs="Times New Roman"/>
          <w:i/>
          <w:lang w:val="en-US"/>
        </w:rPr>
        <w:t>WTO Analytical Index, Guide to WTO Law and Practice</w:t>
      </w:r>
      <w:r w:rsidRPr="005D6868">
        <w:rPr>
          <w:rFonts w:ascii="Times New Roman" w:hAnsi="Times New Roman" w:cs="Times New Roman"/>
          <w:lang w:val="en-US"/>
        </w:rPr>
        <w:t>, Cambridge, Cambridge University Press, 2</w:t>
      </w:r>
      <w:r w:rsidRPr="005D6868">
        <w:rPr>
          <w:rFonts w:ascii="Times New Roman" w:hAnsi="Times New Roman" w:cs="Times New Roman"/>
          <w:vertAlign w:val="superscript"/>
          <w:lang w:val="en-US"/>
        </w:rPr>
        <w:t>e</w:t>
      </w:r>
      <w:r w:rsidRPr="005D6868">
        <w:rPr>
          <w:rFonts w:ascii="Times New Roman" w:hAnsi="Times New Roman" w:cs="Times New Roman"/>
          <w:lang w:val="en-US"/>
        </w:rPr>
        <w:t xml:space="preserve"> edition, Vol. 1., 2007.</w:t>
      </w:r>
    </w:p>
    <w:p w14:paraId="5A651E85" w14:textId="77777777" w:rsidR="006A3458" w:rsidRPr="005D6868" w:rsidRDefault="006A3458" w:rsidP="00570190">
      <w:pPr>
        <w:spacing w:line="276" w:lineRule="auto"/>
        <w:jc w:val="both"/>
        <w:rPr>
          <w:rFonts w:ascii="Times New Roman" w:hAnsi="Times New Roman" w:cs="Times New Roman"/>
          <w:lang w:val="en-US"/>
        </w:rPr>
      </w:pPr>
    </w:p>
    <w:p w14:paraId="7450C3BB" w14:textId="77777777" w:rsidR="006A3458" w:rsidRPr="005D6868" w:rsidRDefault="006A3458" w:rsidP="00570190">
      <w:pPr>
        <w:spacing w:line="276" w:lineRule="auto"/>
        <w:jc w:val="both"/>
        <w:rPr>
          <w:rFonts w:ascii="Times New Roman" w:hAnsi="Times New Roman" w:cs="Times New Roman"/>
          <w:lang w:val="en-US"/>
        </w:rPr>
      </w:pPr>
      <w:r w:rsidRPr="005D6868">
        <w:rPr>
          <w:rFonts w:ascii="Times New Roman" w:hAnsi="Times New Roman" w:cs="Times New Roman"/>
          <w:lang w:val="en-US"/>
        </w:rPr>
        <w:t>WTO Appellate Body, Repertory of Reports and Awards 1995-2006, 3</w:t>
      </w:r>
      <w:r w:rsidRPr="005D6868">
        <w:rPr>
          <w:rFonts w:ascii="Times New Roman" w:hAnsi="Times New Roman" w:cs="Times New Roman"/>
          <w:vertAlign w:val="superscript"/>
          <w:lang w:val="en-US"/>
        </w:rPr>
        <w:t>e</w:t>
      </w:r>
      <w:r w:rsidRPr="005D6868">
        <w:rPr>
          <w:rFonts w:ascii="Times New Roman" w:hAnsi="Times New Roman" w:cs="Times New Roman"/>
          <w:lang w:val="en-US"/>
        </w:rPr>
        <w:t xml:space="preserve"> edition</w:t>
      </w:r>
    </w:p>
    <w:p w14:paraId="5971E0F5" w14:textId="77777777" w:rsidR="006A3458" w:rsidRPr="005D6868" w:rsidRDefault="006A3458" w:rsidP="00570190">
      <w:pPr>
        <w:spacing w:line="276" w:lineRule="auto"/>
        <w:jc w:val="both"/>
        <w:rPr>
          <w:rFonts w:ascii="Times New Roman" w:hAnsi="Times New Roman" w:cs="Times New Roman"/>
          <w:lang w:val="en-US"/>
        </w:rPr>
      </w:pPr>
      <w:r w:rsidRPr="005D6868">
        <w:rPr>
          <w:rFonts w:ascii="Times New Roman" w:hAnsi="Times New Roman" w:cs="Times New Roman"/>
          <w:smallCaps/>
          <w:lang w:val="en-US"/>
        </w:rPr>
        <w:t xml:space="preserve">Zlepting, S., </w:t>
      </w:r>
      <w:r w:rsidRPr="005D6868">
        <w:rPr>
          <w:rFonts w:ascii="Times New Roman" w:hAnsi="Times New Roman" w:cs="Times New Roman"/>
          <w:i/>
          <w:lang w:val="en-US"/>
        </w:rPr>
        <w:t>Non-Economic Objectives in WTO Law, Justification Provisions of GATT, GATS, SPS and TBT Agreements</w:t>
      </w:r>
      <w:r w:rsidRPr="005D6868">
        <w:rPr>
          <w:rFonts w:ascii="Times New Roman" w:hAnsi="Times New Roman" w:cs="Times New Roman"/>
          <w:lang w:val="en-US"/>
        </w:rPr>
        <w:t>, Leiden and Boston, Martinus Nijhoff, 2010.</w:t>
      </w:r>
    </w:p>
    <w:p w14:paraId="00CFF2F2" w14:textId="77777777" w:rsidR="006A3458" w:rsidRPr="005D6868" w:rsidRDefault="006A3458" w:rsidP="00570190">
      <w:pPr>
        <w:jc w:val="both"/>
        <w:rPr>
          <w:rFonts w:ascii="Times New Roman" w:hAnsi="Times New Roman" w:cs="Times New Roman"/>
          <w:lang w:val="en-US"/>
        </w:rPr>
      </w:pPr>
    </w:p>
    <w:p w14:paraId="44A7DC85" w14:textId="77777777" w:rsidR="006A3458" w:rsidRPr="005D6868" w:rsidRDefault="006A3458" w:rsidP="00570190">
      <w:pPr>
        <w:jc w:val="both"/>
        <w:rPr>
          <w:rFonts w:ascii="Times New Roman" w:hAnsi="Times New Roman" w:cs="Times New Roman"/>
          <w:lang w:val="en-US"/>
        </w:rPr>
      </w:pPr>
    </w:p>
    <w:p w14:paraId="76C3B367" w14:textId="4515C04B" w:rsidR="006A3458" w:rsidRPr="005D6868" w:rsidRDefault="00570190" w:rsidP="00570190">
      <w:pPr>
        <w:jc w:val="both"/>
        <w:rPr>
          <w:rFonts w:ascii="Times New Roman" w:hAnsi="Times New Roman" w:cs="Times New Roman"/>
          <w:smallCaps/>
          <w:u w:val="single"/>
          <w:lang w:val="en-US"/>
        </w:rPr>
      </w:pPr>
      <w:r w:rsidRPr="005D6868">
        <w:rPr>
          <w:rFonts w:ascii="Times New Roman" w:hAnsi="Times New Roman" w:cs="Times New Roman"/>
          <w:smallCaps/>
          <w:u w:val="single"/>
          <w:lang w:val="en-US"/>
        </w:rPr>
        <w:t>Jurisprudence</w:t>
      </w:r>
    </w:p>
    <w:p w14:paraId="4CC680F6" w14:textId="77777777" w:rsidR="006A3458" w:rsidRPr="005D6868" w:rsidRDefault="006A3458" w:rsidP="00570190">
      <w:pPr>
        <w:jc w:val="both"/>
        <w:rPr>
          <w:rFonts w:ascii="Times New Roman" w:hAnsi="Times New Roman" w:cs="Times New Roman"/>
          <w:lang w:val="en-US"/>
        </w:rPr>
      </w:pPr>
    </w:p>
    <w:p w14:paraId="764E31A9" w14:textId="5E30D7E2" w:rsidR="006A3458" w:rsidRPr="005D6868" w:rsidRDefault="00E15A86" w:rsidP="00570190">
      <w:pPr>
        <w:jc w:val="both"/>
        <w:rPr>
          <w:rFonts w:ascii="Times New Roman" w:hAnsi="Times New Roman" w:cs="Times New Roman"/>
        </w:rPr>
      </w:pPr>
      <w:r w:rsidRPr="005D6868">
        <w:rPr>
          <w:rFonts w:ascii="Times New Roman" w:hAnsi="Times New Roman" w:cs="Times New Roman"/>
        </w:rPr>
        <w:t xml:space="preserve">« États-Unis - Interdiction des importations de thon et de produits du thon en provenance du Canada », rapport adopté le 22 février 1982, </w:t>
      </w:r>
      <w:r w:rsidRPr="005D6868">
        <w:rPr>
          <w:rFonts w:ascii="Times New Roman" w:hAnsi="Times New Roman" w:cs="Times New Roman"/>
          <w:i/>
        </w:rPr>
        <w:t>IBDD</w:t>
      </w:r>
      <w:r w:rsidRPr="005D6868">
        <w:rPr>
          <w:rFonts w:ascii="Times New Roman" w:hAnsi="Times New Roman" w:cs="Times New Roman"/>
        </w:rPr>
        <w:t>, S29/96</w:t>
      </w:r>
      <w:r w:rsidR="0090573A" w:rsidRPr="005D6868">
        <w:rPr>
          <w:rFonts w:ascii="Times New Roman" w:hAnsi="Times New Roman" w:cs="Times New Roman"/>
        </w:rPr>
        <w:t>.</w:t>
      </w:r>
    </w:p>
    <w:p w14:paraId="5CAFF327" w14:textId="77777777" w:rsidR="00E15A86" w:rsidRPr="005D6868" w:rsidRDefault="00E15A86" w:rsidP="00570190">
      <w:pPr>
        <w:jc w:val="both"/>
        <w:rPr>
          <w:rFonts w:ascii="Times New Roman" w:hAnsi="Times New Roman" w:cs="Times New Roman"/>
          <w:lang w:val="en-US"/>
        </w:rPr>
      </w:pPr>
    </w:p>
    <w:p w14:paraId="3BB37C27" w14:textId="1329B5FB" w:rsidR="00570190" w:rsidRPr="005D6868" w:rsidRDefault="00E15A86" w:rsidP="00570190">
      <w:pPr>
        <w:pStyle w:val="Notedebasdepage"/>
        <w:jc w:val="both"/>
        <w:rPr>
          <w:rFonts w:ascii="Times New Roman" w:hAnsi="Times New Roman" w:cs="Times New Roman"/>
        </w:rPr>
      </w:pPr>
      <w:r w:rsidRPr="005D6868">
        <w:rPr>
          <w:rFonts w:ascii="Times New Roman" w:hAnsi="Times New Roman" w:cs="Times New Roman"/>
        </w:rPr>
        <w:t xml:space="preserve">« Canada - Mesures affectant l'exportation de harengs et de saumons non préparés », rapport adopté le 22 mars 1988, </w:t>
      </w:r>
      <w:r w:rsidRPr="005D6868">
        <w:rPr>
          <w:rFonts w:ascii="Times New Roman" w:hAnsi="Times New Roman" w:cs="Times New Roman"/>
          <w:i/>
        </w:rPr>
        <w:t>IBDD</w:t>
      </w:r>
      <w:r w:rsidRPr="005D6868">
        <w:rPr>
          <w:rFonts w:ascii="Times New Roman" w:hAnsi="Times New Roman" w:cs="Times New Roman"/>
        </w:rPr>
        <w:t>, S35/106.</w:t>
      </w:r>
    </w:p>
    <w:p w14:paraId="6F3F4928" w14:textId="77777777" w:rsidR="00E15A86" w:rsidRPr="005D6868" w:rsidRDefault="00E15A86" w:rsidP="00570190">
      <w:pPr>
        <w:pStyle w:val="Notedebasdepage"/>
        <w:jc w:val="both"/>
        <w:rPr>
          <w:rFonts w:ascii="Times New Roman" w:hAnsi="Times New Roman" w:cs="Times New Roman"/>
        </w:rPr>
      </w:pPr>
    </w:p>
    <w:p w14:paraId="69E6805C" w14:textId="3DFCEA25" w:rsidR="00E15A86" w:rsidRPr="005D6868" w:rsidRDefault="00E15A86" w:rsidP="00E15A86">
      <w:pPr>
        <w:jc w:val="both"/>
        <w:rPr>
          <w:rFonts w:ascii="Times New Roman" w:hAnsi="Times New Roman" w:cs="Times New Roman"/>
        </w:rPr>
      </w:pPr>
      <w:r w:rsidRPr="005D6868">
        <w:rPr>
          <w:rFonts w:ascii="Times New Roman" w:hAnsi="Times New Roman" w:cs="Times New Roman"/>
        </w:rPr>
        <w:t xml:space="preserve">« Thaïlande -Restrictions à l'importation et taxes intérieures touchant les cigarettes"», rapport adopté le 7 novembre 1990, </w:t>
      </w:r>
      <w:r w:rsidRPr="005D6868">
        <w:rPr>
          <w:rFonts w:ascii="Times New Roman" w:hAnsi="Times New Roman" w:cs="Times New Roman"/>
          <w:i/>
        </w:rPr>
        <w:t>IBDD</w:t>
      </w:r>
      <w:r w:rsidRPr="005D6868">
        <w:rPr>
          <w:rFonts w:ascii="Times New Roman" w:hAnsi="Times New Roman" w:cs="Times New Roman"/>
        </w:rPr>
        <w:t>, S37/214.</w:t>
      </w:r>
    </w:p>
    <w:p w14:paraId="5A57EC37" w14:textId="77777777" w:rsidR="00080648" w:rsidRPr="005D6868" w:rsidRDefault="00080648" w:rsidP="00E15A86">
      <w:pPr>
        <w:jc w:val="both"/>
        <w:rPr>
          <w:rFonts w:ascii="Times New Roman" w:hAnsi="Times New Roman" w:cs="Times New Roman"/>
          <w:highlight w:val="cyan"/>
        </w:rPr>
      </w:pPr>
    </w:p>
    <w:p w14:paraId="7D7E92A6" w14:textId="77777777" w:rsidR="0090573A" w:rsidRPr="005D6868" w:rsidRDefault="0090573A" w:rsidP="00570190">
      <w:pPr>
        <w:pStyle w:val="Notedebasdepage"/>
        <w:jc w:val="both"/>
        <w:rPr>
          <w:rFonts w:ascii="Times New Roman" w:hAnsi="Times New Roman" w:cs="Times New Roman"/>
          <w:lang w:val="nl-NL"/>
        </w:rPr>
      </w:pPr>
    </w:p>
    <w:p w14:paraId="3B4C5C9A" w14:textId="57EF98C9" w:rsidR="00080648" w:rsidRPr="005D6868" w:rsidRDefault="00D3052C" w:rsidP="00570190">
      <w:pPr>
        <w:pStyle w:val="Notedebasdepage"/>
        <w:jc w:val="both"/>
        <w:rPr>
          <w:rFonts w:ascii="Times New Roman" w:hAnsi="Times New Roman" w:cs="Times New Roman"/>
        </w:rPr>
      </w:pPr>
      <w:r w:rsidRPr="005D6868">
        <w:rPr>
          <w:rFonts w:ascii="Times New Roman" w:hAnsi="Times New Roman" w:cs="Times New Roman"/>
        </w:rPr>
        <w:t>« Etats-Unis – Restrictions à l’importation de thon », rapport distribué le 16 août 1991, non adopté, WT/DS29/R.</w:t>
      </w:r>
    </w:p>
    <w:p w14:paraId="7B895F7A" w14:textId="77777777" w:rsidR="00080648" w:rsidRPr="005D6868" w:rsidRDefault="00080648" w:rsidP="00570190">
      <w:pPr>
        <w:pStyle w:val="Notedebasdepage"/>
        <w:jc w:val="both"/>
        <w:rPr>
          <w:rFonts w:ascii="Times New Roman" w:hAnsi="Times New Roman" w:cs="Times New Roman"/>
          <w:lang w:val="nl-NL"/>
        </w:rPr>
      </w:pPr>
    </w:p>
    <w:p w14:paraId="12097578" w14:textId="0FEC2E93" w:rsidR="0090573A" w:rsidRPr="005D6868" w:rsidRDefault="00570190" w:rsidP="00E15A86">
      <w:pPr>
        <w:pStyle w:val="Notedebasdepage"/>
        <w:jc w:val="both"/>
        <w:rPr>
          <w:rFonts w:ascii="Times New Roman" w:hAnsi="Times New Roman" w:cs="Times New Roman"/>
        </w:rPr>
      </w:pPr>
      <w:r w:rsidRPr="005D6868">
        <w:rPr>
          <w:rFonts w:ascii="Times New Roman" w:hAnsi="Times New Roman" w:cs="Times New Roman"/>
        </w:rPr>
        <w:t xml:space="preserve">« Etats-Unis – Restrictions à l’importation de thon », rapport distribué le 16 juin 1994, non adopté, </w:t>
      </w:r>
      <w:r w:rsidR="00D3052C" w:rsidRPr="005D6868">
        <w:rPr>
          <w:rFonts w:ascii="Times New Roman" w:hAnsi="Times New Roman" w:cs="Times New Roman"/>
        </w:rPr>
        <w:t>WT/</w:t>
      </w:r>
      <w:r w:rsidRPr="005D6868">
        <w:rPr>
          <w:rFonts w:ascii="Times New Roman" w:hAnsi="Times New Roman" w:cs="Times New Roman"/>
        </w:rPr>
        <w:t>DS29/R.</w:t>
      </w:r>
    </w:p>
    <w:p w14:paraId="760412C2" w14:textId="77777777" w:rsidR="0044787B" w:rsidRPr="005D6868" w:rsidRDefault="0044787B" w:rsidP="00570190">
      <w:pPr>
        <w:jc w:val="both"/>
        <w:rPr>
          <w:rFonts w:ascii="Times New Roman" w:hAnsi="Times New Roman" w:cs="Times New Roman"/>
          <w:lang w:val="en-US"/>
        </w:rPr>
      </w:pPr>
    </w:p>
    <w:p w14:paraId="4D0A1E8C" w14:textId="77777777" w:rsidR="0090573A" w:rsidRPr="005D6868" w:rsidRDefault="0090573A" w:rsidP="0090573A">
      <w:pPr>
        <w:pStyle w:val="Notedebasdepage"/>
        <w:jc w:val="both"/>
        <w:rPr>
          <w:rFonts w:ascii="Times New Roman" w:hAnsi="Times New Roman" w:cs="Times New Roman"/>
        </w:rPr>
      </w:pPr>
      <w:r w:rsidRPr="005D6868">
        <w:rPr>
          <w:rFonts w:ascii="Times New Roman" w:hAnsi="Times New Roman" w:cs="Times New Roman"/>
        </w:rPr>
        <w:t>« États-Unis - Normes concernant l'essence nouvelle et ancienne formules », rapport du rapport du Groupe spécial, adopté le 20 mai 1996, WT/DS2/9.</w:t>
      </w:r>
    </w:p>
    <w:p w14:paraId="1842BCB9" w14:textId="77777777" w:rsidR="0090573A" w:rsidRPr="005D6868" w:rsidRDefault="0090573A" w:rsidP="0090573A">
      <w:pPr>
        <w:pStyle w:val="Notedebasdepage"/>
        <w:jc w:val="both"/>
        <w:rPr>
          <w:rFonts w:ascii="Times New Roman" w:hAnsi="Times New Roman" w:cs="Times New Roman"/>
        </w:rPr>
      </w:pPr>
    </w:p>
    <w:p w14:paraId="534ED335" w14:textId="77777777" w:rsidR="0090573A" w:rsidRPr="005D6868" w:rsidRDefault="0090573A" w:rsidP="0090573A">
      <w:pPr>
        <w:pStyle w:val="Notedebasdepage"/>
        <w:jc w:val="both"/>
        <w:rPr>
          <w:rFonts w:ascii="Times New Roman" w:hAnsi="Times New Roman" w:cs="Times New Roman"/>
        </w:rPr>
      </w:pPr>
      <w:r w:rsidRPr="005D6868">
        <w:rPr>
          <w:rFonts w:ascii="Times New Roman" w:hAnsi="Times New Roman" w:cs="Times New Roman"/>
        </w:rPr>
        <w:t>« États-Unis - Normes concernant l'essence nouvelle et ancienne formules », rapport de l’Organe d’appel, adopté le 29 avril 1996, WT/DS2/AB/R.</w:t>
      </w:r>
    </w:p>
    <w:p w14:paraId="3C10012E" w14:textId="77777777" w:rsidR="0090573A" w:rsidRPr="005D6868" w:rsidRDefault="0090573A" w:rsidP="00570190">
      <w:pPr>
        <w:jc w:val="both"/>
        <w:rPr>
          <w:rFonts w:ascii="Times New Roman" w:hAnsi="Times New Roman" w:cs="Times New Roman"/>
          <w:lang w:val="en-US"/>
        </w:rPr>
      </w:pPr>
    </w:p>
    <w:p w14:paraId="5D63F138" w14:textId="409FBDCE" w:rsidR="0090573A" w:rsidRPr="005D6868" w:rsidRDefault="0090573A" w:rsidP="0090573A">
      <w:pPr>
        <w:jc w:val="both"/>
        <w:rPr>
          <w:rFonts w:ascii="Times New Roman" w:hAnsi="Times New Roman" w:cs="Times New Roman"/>
          <w:lang w:val="en-US"/>
        </w:rPr>
      </w:pPr>
      <w:r w:rsidRPr="005D6868">
        <w:rPr>
          <w:rFonts w:ascii="Times New Roman" w:hAnsi="Times New Roman" w:cs="Times New Roman"/>
          <w:i/>
        </w:rPr>
        <w:t xml:space="preserve">« Mesures communautaires concernant les viandes et les produits carnés (hormones) », </w:t>
      </w:r>
      <w:r w:rsidRPr="005D6868">
        <w:rPr>
          <w:rFonts w:ascii="Times New Roman" w:hAnsi="Times New Roman" w:cs="Times New Roman"/>
        </w:rPr>
        <w:t>rapport de l’Organe d’appel, 16 janvier 1998, WT/DS26/AB/R-WT/DS48/AB/R</w:t>
      </w:r>
      <w:r w:rsidR="005D6868" w:rsidRPr="005D6868">
        <w:rPr>
          <w:rFonts w:ascii="Times New Roman" w:hAnsi="Times New Roman" w:cs="Times New Roman"/>
        </w:rPr>
        <w:t>.</w:t>
      </w:r>
    </w:p>
    <w:p w14:paraId="32D8B98F" w14:textId="77777777" w:rsidR="00D3052C" w:rsidRPr="005D6868" w:rsidRDefault="00D3052C" w:rsidP="00570190">
      <w:pPr>
        <w:jc w:val="both"/>
        <w:rPr>
          <w:rFonts w:ascii="Times New Roman" w:hAnsi="Times New Roman" w:cs="Times New Roman"/>
          <w:lang w:val="en-US"/>
        </w:rPr>
      </w:pPr>
    </w:p>
    <w:p w14:paraId="60C0BEC8" w14:textId="1649975B" w:rsidR="0090573A" w:rsidRPr="005D6868" w:rsidRDefault="0090573A" w:rsidP="005D6868">
      <w:pPr>
        <w:pStyle w:val="Corpsdetexte3"/>
        <w:numPr>
          <w:ilvl w:val="0"/>
          <w:numId w:val="0"/>
        </w:numPr>
        <w:rPr>
          <w:sz w:val="24"/>
          <w:szCs w:val="24"/>
        </w:rPr>
      </w:pPr>
      <w:r w:rsidRPr="005D6868">
        <w:rPr>
          <w:sz w:val="24"/>
          <w:szCs w:val="24"/>
        </w:rPr>
        <w:t>Affaire relative au projet Gabcikovo-Nagymaros (Hongrie c. Slovaquie), Arrêt du 25 septembre 1997, rec., 1997.</w:t>
      </w:r>
    </w:p>
    <w:p w14:paraId="3F536034" w14:textId="235BDD68" w:rsidR="00D3052C" w:rsidRPr="005D6868" w:rsidRDefault="00E15A86" w:rsidP="00E15A86">
      <w:pPr>
        <w:pStyle w:val="Notedebasdepage"/>
        <w:jc w:val="both"/>
        <w:rPr>
          <w:rFonts w:ascii="Times New Roman" w:hAnsi="Times New Roman" w:cs="Times New Roman"/>
        </w:rPr>
      </w:pPr>
      <w:r w:rsidRPr="005D6868">
        <w:rPr>
          <w:rFonts w:ascii="Times New Roman" w:hAnsi="Times New Roman" w:cs="Times New Roman"/>
        </w:rPr>
        <w:t>« États-Unis - Prohibition à l'importation de certaines crevettes et de certains produits à base de crevettes », rapport du Groupe spécial, WT/DS58/</w:t>
      </w:r>
      <w:r w:rsidR="005D6868" w:rsidRPr="005D6868">
        <w:rPr>
          <w:rFonts w:ascii="Times New Roman" w:hAnsi="Times New Roman" w:cs="Times New Roman"/>
        </w:rPr>
        <w:t>R, distribué le 15 mai 1998.</w:t>
      </w:r>
    </w:p>
    <w:p w14:paraId="6849DC39" w14:textId="77777777" w:rsidR="00D3052C" w:rsidRPr="005D6868" w:rsidRDefault="00D3052C" w:rsidP="00E15A86">
      <w:pPr>
        <w:pStyle w:val="Notedebasdepage"/>
        <w:jc w:val="both"/>
        <w:rPr>
          <w:rFonts w:ascii="Times New Roman" w:hAnsi="Times New Roman" w:cs="Times New Roman"/>
        </w:rPr>
      </w:pPr>
    </w:p>
    <w:p w14:paraId="4E0703C1" w14:textId="45D84775" w:rsidR="00E15A86" w:rsidRPr="005D6868" w:rsidRDefault="00D3052C" w:rsidP="00E15A86">
      <w:pPr>
        <w:pStyle w:val="Notedebasdepage"/>
        <w:jc w:val="both"/>
        <w:rPr>
          <w:rFonts w:ascii="Times New Roman" w:hAnsi="Times New Roman" w:cs="Times New Roman"/>
        </w:rPr>
      </w:pPr>
      <w:r w:rsidRPr="005D6868">
        <w:rPr>
          <w:rFonts w:ascii="Times New Roman" w:hAnsi="Times New Roman" w:cs="Times New Roman"/>
        </w:rPr>
        <w:t xml:space="preserve">« États-Unis - Prohibition à l'importation de certaines crevettes et de certains produits à base de crevettes », </w:t>
      </w:r>
      <w:r w:rsidR="00E15A86" w:rsidRPr="005D6868">
        <w:rPr>
          <w:rFonts w:ascii="Times New Roman" w:hAnsi="Times New Roman" w:cs="Times New Roman"/>
        </w:rPr>
        <w:t xml:space="preserve">rapport de l'Organe d'appel, WT/DS58/AB/R, distribué le 12 octobre 1998. </w:t>
      </w:r>
    </w:p>
    <w:p w14:paraId="33A62A50" w14:textId="77777777" w:rsidR="00080648" w:rsidRPr="005D6868" w:rsidRDefault="00080648" w:rsidP="00080648">
      <w:pPr>
        <w:tabs>
          <w:tab w:val="left" w:pos="3854"/>
        </w:tabs>
        <w:rPr>
          <w:rFonts w:ascii="Times New Roman" w:hAnsi="Times New Roman" w:cs="Times New Roman"/>
        </w:rPr>
      </w:pPr>
    </w:p>
    <w:p w14:paraId="71447FDB" w14:textId="77777777" w:rsidR="0090573A" w:rsidRPr="005D6868" w:rsidRDefault="0090573A" w:rsidP="00080648">
      <w:pPr>
        <w:tabs>
          <w:tab w:val="left" w:pos="3854"/>
        </w:tabs>
        <w:rPr>
          <w:rFonts w:ascii="Times New Roman" w:hAnsi="Times New Roman" w:cs="Times New Roman"/>
        </w:rPr>
      </w:pPr>
    </w:p>
    <w:p w14:paraId="497588A1" w14:textId="6F83F04A" w:rsidR="006A3458" w:rsidRPr="005D6868" w:rsidRDefault="00080648" w:rsidP="00080648">
      <w:pPr>
        <w:tabs>
          <w:tab w:val="left" w:pos="3854"/>
        </w:tabs>
        <w:rPr>
          <w:rFonts w:ascii="Times New Roman" w:hAnsi="Times New Roman" w:cs="Times New Roman"/>
        </w:rPr>
      </w:pPr>
      <w:r w:rsidRPr="005D6868">
        <w:rPr>
          <w:rFonts w:ascii="Times New Roman" w:hAnsi="Times New Roman" w:cs="Times New Roman"/>
        </w:rPr>
        <w:t>« Communauté Européenne - Mesures affectant l'amiante et les produits en contenant », rapport du Groupe spécial adopté le 18 septembre 2000, WT/DS 135/R.</w:t>
      </w:r>
    </w:p>
    <w:p w14:paraId="15980D2F" w14:textId="77777777" w:rsidR="00080648" w:rsidRPr="005D6868" w:rsidRDefault="00080648" w:rsidP="00570190">
      <w:pPr>
        <w:jc w:val="both"/>
        <w:rPr>
          <w:rFonts w:ascii="Times New Roman" w:hAnsi="Times New Roman" w:cs="Times New Roman"/>
          <w:lang w:val="en-US"/>
        </w:rPr>
      </w:pPr>
    </w:p>
    <w:p w14:paraId="085DD268" w14:textId="748B08EC" w:rsidR="00080648" w:rsidRPr="005D6868" w:rsidRDefault="00080648" w:rsidP="00080648">
      <w:pPr>
        <w:widowControl w:val="0"/>
        <w:autoSpaceDE w:val="0"/>
        <w:autoSpaceDN w:val="0"/>
        <w:adjustRightInd w:val="0"/>
        <w:rPr>
          <w:rFonts w:ascii="Times New Roman" w:hAnsi="Times New Roman" w:cs="Times New Roman"/>
        </w:rPr>
      </w:pPr>
      <w:r w:rsidRPr="005D6868">
        <w:rPr>
          <w:rFonts w:ascii="Times New Roman" w:hAnsi="Times New Roman" w:cs="Times New Roman"/>
        </w:rPr>
        <w:t>« Communauté Européenne - Mesures affectant l'amiante et les produits en contenant », rapport de l’Organe d’appel adopté le 12 mars 2001, WT/DS135/AB/R.</w:t>
      </w:r>
    </w:p>
    <w:p w14:paraId="3D0772AA" w14:textId="77777777" w:rsidR="006A3458" w:rsidRPr="005D6868" w:rsidRDefault="006A3458" w:rsidP="00570190">
      <w:pPr>
        <w:jc w:val="both"/>
        <w:rPr>
          <w:rFonts w:ascii="Times New Roman" w:hAnsi="Times New Roman" w:cs="Times New Roman"/>
          <w:lang w:val="en-US"/>
        </w:rPr>
      </w:pPr>
    </w:p>
    <w:p w14:paraId="47E62608" w14:textId="00CF24CA" w:rsidR="0090573A" w:rsidRPr="005D6868" w:rsidRDefault="00D3052C" w:rsidP="0090573A">
      <w:pPr>
        <w:pStyle w:val="Corpsdetexte3"/>
        <w:numPr>
          <w:ilvl w:val="0"/>
          <w:numId w:val="0"/>
        </w:numPr>
        <w:rPr>
          <w:sz w:val="24"/>
          <w:szCs w:val="24"/>
        </w:rPr>
      </w:pPr>
      <w:r w:rsidRPr="005D6868">
        <w:rPr>
          <w:sz w:val="24"/>
          <w:szCs w:val="24"/>
        </w:rPr>
        <w:t>A</w:t>
      </w:r>
      <w:r w:rsidR="00080648" w:rsidRPr="005D6868">
        <w:rPr>
          <w:sz w:val="24"/>
          <w:szCs w:val="24"/>
        </w:rPr>
        <w:t>ffaire relative au projet Gabcikovo-Nagymaros (Hongrie c. Slovaquie), Arrêt du 25 septembre 1997, rec., 1997.</w:t>
      </w:r>
    </w:p>
    <w:p w14:paraId="634DE7EF" w14:textId="77777777" w:rsidR="0090573A" w:rsidRPr="005D6868" w:rsidRDefault="0090573A" w:rsidP="00570190">
      <w:pPr>
        <w:jc w:val="both"/>
        <w:rPr>
          <w:rFonts w:ascii="Times New Roman" w:hAnsi="Times New Roman" w:cs="Times New Roman"/>
          <w:lang w:val="en-US"/>
        </w:rPr>
      </w:pPr>
    </w:p>
    <w:p w14:paraId="0BD094E5" w14:textId="77777777" w:rsidR="0090573A" w:rsidRPr="005D6868" w:rsidRDefault="0090573A" w:rsidP="00570190">
      <w:pPr>
        <w:jc w:val="both"/>
        <w:rPr>
          <w:rFonts w:ascii="Times New Roman" w:hAnsi="Times New Roman" w:cs="Times New Roman"/>
          <w:lang w:val="en-US"/>
        </w:rPr>
      </w:pPr>
    </w:p>
    <w:p w14:paraId="5BECD973" w14:textId="77777777" w:rsidR="0090573A" w:rsidRPr="005D6868" w:rsidRDefault="0090573A" w:rsidP="00570190">
      <w:pPr>
        <w:jc w:val="both"/>
        <w:rPr>
          <w:rFonts w:ascii="Times New Roman" w:hAnsi="Times New Roman" w:cs="Times New Roman"/>
          <w:lang w:val="en-US"/>
        </w:rPr>
      </w:pPr>
    </w:p>
    <w:p w14:paraId="285EFCD3" w14:textId="77777777" w:rsidR="0090573A" w:rsidRPr="005D6868" w:rsidRDefault="0090573A" w:rsidP="00570190">
      <w:pPr>
        <w:jc w:val="both"/>
        <w:rPr>
          <w:rFonts w:ascii="Times New Roman" w:hAnsi="Times New Roman" w:cs="Times New Roman"/>
          <w:lang w:val="en-US"/>
        </w:rPr>
      </w:pPr>
    </w:p>
    <w:p w14:paraId="1CDAF0FE" w14:textId="77777777" w:rsidR="006A3458" w:rsidRDefault="006A3458" w:rsidP="00570190">
      <w:pPr>
        <w:jc w:val="both"/>
        <w:rPr>
          <w:lang w:val="en-US"/>
        </w:rPr>
      </w:pPr>
    </w:p>
    <w:p w14:paraId="165C1372" w14:textId="77777777" w:rsidR="006A3458" w:rsidRPr="0028475D" w:rsidRDefault="006A3458" w:rsidP="00570190">
      <w:pPr>
        <w:jc w:val="both"/>
        <w:rPr>
          <w:lang w:val="en-US"/>
        </w:rPr>
      </w:pPr>
    </w:p>
    <w:p w14:paraId="20ABEB8E" w14:textId="77777777" w:rsidR="006A3458" w:rsidRPr="0028475D" w:rsidRDefault="006A3458" w:rsidP="00570190">
      <w:pPr>
        <w:jc w:val="both"/>
        <w:rPr>
          <w:rFonts w:ascii="Times New Roman" w:hAnsi="Times New Roman" w:cs="Times New Roman"/>
          <w:lang w:val="en-US"/>
        </w:rPr>
      </w:pPr>
    </w:p>
    <w:p w14:paraId="7E786EBD" w14:textId="77777777" w:rsidR="006A3458" w:rsidRPr="0028475D" w:rsidRDefault="006A3458" w:rsidP="00570190">
      <w:pPr>
        <w:jc w:val="both"/>
        <w:rPr>
          <w:rFonts w:ascii="Times New Roman" w:hAnsi="Times New Roman" w:cs="Times New Roman"/>
          <w:lang w:val="en-US"/>
        </w:rPr>
      </w:pPr>
    </w:p>
    <w:p w14:paraId="502BE615" w14:textId="77777777" w:rsidR="00891A59" w:rsidRDefault="00891A59" w:rsidP="00570190">
      <w:pPr>
        <w:jc w:val="both"/>
      </w:pPr>
    </w:p>
    <w:sectPr w:rsidR="00891A59" w:rsidSect="00906CB5">
      <w:footerReference w:type="even" r:id="rId13"/>
      <w:footerReference w:type="default" r:id="rId14"/>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5AF388" w14:textId="77777777" w:rsidR="00C14253" w:rsidRDefault="00C14253" w:rsidP="008953AA">
      <w:r>
        <w:separator/>
      </w:r>
    </w:p>
  </w:endnote>
  <w:endnote w:type="continuationSeparator" w:id="0">
    <w:p w14:paraId="61EC33E9" w14:textId="77777777" w:rsidR="00C14253" w:rsidRDefault="00C14253" w:rsidP="008953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DBC588" w14:textId="77777777" w:rsidR="00C14253" w:rsidRDefault="00C14253" w:rsidP="00570190">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14:paraId="24034E33" w14:textId="77777777" w:rsidR="00C14253" w:rsidRDefault="00C14253" w:rsidP="00570190">
    <w:pPr>
      <w:pStyle w:val="Pieddepage"/>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D5C949" w14:textId="77777777" w:rsidR="00C14253" w:rsidRDefault="00C14253" w:rsidP="00570190">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sidR="001F76CA">
      <w:rPr>
        <w:rStyle w:val="Numrodepage"/>
        <w:noProof/>
      </w:rPr>
      <w:t>1</w:t>
    </w:r>
    <w:r>
      <w:rPr>
        <w:rStyle w:val="Numrodepage"/>
      </w:rPr>
      <w:fldChar w:fldCharType="end"/>
    </w:r>
  </w:p>
  <w:p w14:paraId="20E3CA54" w14:textId="77777777" w:rsidR="00C14253" w:rsidRDefault="00C14253" w:rsidP="00570190">
    <w:pPr>
      <w:pStyle w:val="Pieddepage"/>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8FA049" w14:textId="77777777" w:rsidR="00C14253" w:rsidRDefault="00C14253" w:rsidP="008953AA">
      <w:r>
        <w:separator/>
      </w:r>
    </w:p>
  </w:footnote>
  <w:footnote w:type="continuationSeparator" w:id="0">
    <w:p w14:paraId="006571A5" w14:textId="77777777" w:rsidR="00C14253" w:rsidRDefault="00C14253" w:rsidP="008953AA">
      <w:r>
        <w:continuationSeparator/>
      </w:r>
    </w:p>
  </w:footnote>
  <w:footnote w:id="1">
    <w:p w14:paraId="5CAFEE0A" w14:textId="273EA786" w:rsidR="00C14253" w:rsidRPr="00570190" w:rsidRDefault="00C14253" w:rsidP="00061FF9">
      <w:pPr>
        <w:tabs>
          <w:tab w:val="left" w:pos="2600"/>
        </w:tabs>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S. </w:t>
      </w:r>
      <w:r w:rsidRPr="00570190">
        <w:rPr>
          <w:rFonts w:ascii="Times New Roman" w:hAnsi="Times New Roman" w:cs="Times New Roman"/>
          <w:smallCaps/>
          <w:sz w:val="20"/>
          <w:szCs w:val="20"/>
        </w:rPr>
        <w:t>D’Agostino</w:t>
      </w:r>
      <w:r w:rsidRPr="00570190">
        <w:rPr>
          <w:rFonts w:ascii="Times New Roman" w:hAnsi="Times New Roman" w:cs="Times New Roman"/>
          <w:sz w:val="20"/>
          <w:szCs w:val="20"/>
        </w:rPr>
        <w:t xml:space="preserve">, P. </w:t>
      </w:r>
      <w:r w:rsidRPr="00570190">
        <w:rPr>
          <w:rFonts w:ascii="Times New Roman" w:hAnsi="Times New Roman" w:cs="Times New Roman"/>
          <w:smallCaps/>
          <w:sz w:val="20"/>
          <w:szCs w:val="20"/>
        </w:rPr>
        <w:t>Deubel, M. Mantoussé, G. Renouard</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Dictionnaire des sciences économiques et sociales</w:t>
      </w:r>
      <w:r w:rsidRPr="00570190">
        <w:rPr>
          <w:rFonts w:ascii="Times New Roman" w:hAnsi="Times New Roman" w:cs="Times New Roman"/>
          <w:sz w:val="20"/>
          <w:szCs w:val="20"/>
        </w:rPr>
        <w:t xml:space="preserve">, Paris, Bréal, Rosny, 2008, p. 456 ; P. </w:t>
      </w:r>
      <w:r w:rsidRPr="00570190">
        <w:rPr>
          <w:rFonts w:ascii="Times New Roman" w:hAnsi="Times New Roman" w:cs="Times New Roman"/>
          <w:smallCaps/>
          <w:sz w:val="20"/>
          <w:szCs w:val="20"/>
        </w:rPr>
        <w:t>Deyon,</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Le mercantilisme</w:t>
      </w:r>
      <w:r w:rsidRPr="00570190">
        <w:rPr>
          <w:rFonts w:ascii="Times New Roman" w:hAnsi="Times New Roman" w:cs="Times New Roman"/>
          <w:sz w:val="20"/>
          <w:szCs w:val="20"/>
        </w:rPr>
        <w:t>, Paris, Flammarion, 1969, p. 12.</w:t>
      </w:r>
    </w:p>
  </w:footnote>
  <w:footnote w:id="2">
    <w:p w14:paraId="644BD8B0" w14:textId="77777777"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Le petit Larousse illustré</w:t>
      </w:r>
      <w:r w:rsidRPr="00570190">
        <w:rPr>
          <w:rFonts w:ascii="Times New Roman" w:hAnsi="Times New Roman" w:cs="Times New Roman"/>
          <w:sz w:val="20"/>
          <w:szCs w:val="20"/>
        </w:rPr>
        <w:t>, Paris, Larousse, 2010, p. 566.</w:t>
      </w:r>
    </w:p>
  </w:footnote>
  <w:footnote w:id="3">
    <w:p w14:paraId="4CC4B6B9" w14:textId="00387F69"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S. </w:t>
      </w:r>
      <w:r w:rsidRPr="00570190">
        <w:rPr>
          <w:rFonts w:ascii="Times New Roman" w:hAnsi="Times New Roman" w:cs="Times New Roman"/>
          <w:smallCaps/>
          <w:sz w:val="20"/>
          <w:szCs w:val="20"/>
        </w:rPr>
        <w:t>D’Agostino</w:t>
      </w:r>
      <w:r w:rsidRPr="00570190">
        <w:rPr>
          <w:rFonts w:ascii="Times New Roman" w:hAnsi="Times New Roman" w:cs="Times New Roman"/>
          <w:sz w:val="20"/>
          <w:szCs w:val="20"/>
        </w:rPr>
        <w:t xml:space="preserve">, P. </w:t>
      </w:r>
      <w:r w:rsidRPr="00570190">
        <w:rPr>
          <w:rFonts w:ascii="Times New Roman" w:hAnsi="Times New Roman" w:cs="Times New Roman"/>
          <w:smallCaps/>
          <w:sz w:val="20"/>
          <w:szCs w:val="20"/>
        </w:rPr>
        <w:t>Deubel, M. Mantoussé, G. Renouard</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 456. </w:t>
      </w:r>
    </w:p>
  </w:footnote>
  <w:footnote w:id="4">
    <w:p w14:paraId="31A2A86E" w14:textId="29AD80F2"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G. </w:t>
      </w:r>
      <w:r w:rsidRPr="00570190">
        <w:rPr>
          <w:rFonts w:ascii="Times New Roman" w:hAnsi="Times New Roman" w:cs="Times New Roman"/>
          <w:smallCaps/>
          <w:sz w:val="20"/>
          <w:szCs w:val="20"/>
        </w:rPr>
        <w:t>Busino,</w:t>
      </w:r>
      <w:r w:rsidRPr="00570190">
        <w:rPr>
          <w:rFonts w:ascii="Times New Roman" w:hAnsi="Times New Roman" w:cs="Times New Roman"/>
          <w:sz w:val="20"/>
          <w:szCs w:val="20"/>
        </w:rPr>
        <w:t xml:space="preserve"> « Naissance du mercantilisme libéral », Genève, Droz, revue européenne des sciences sociales, 1997, pp. 7 et 8 ; </w:t>
      </w:r>
      <w:r w:rsidRPr="00570190">
        <w:rPr>
          <w:rFonts w:ascii="Times New Roman" w:hAnsi="Times New Roman" w:cs="Times New Roman"/>
          <w:smallCaps/>
          <w:sz w:val="20"/>
          <w:szCs w:val="20"/>
        </w:rPr>
        <w:t>D. Salvatore</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Economie internationale</w:t>
      </w:r>
      <w:r w:rsidRPr="00570190">
        <w:rPr>
          <w:rFonts w:ascii="Times New Roman" w:hAnsi="Times New Roman" w:cs="Times New Roman"/>
          <w:sz w:val="20"/>
          <w:szCs w:val="20"/>
        </w:rPr>
        <w:t>, Bruxelles, De Boeck, 2007, p. 49.</w:t>
      </w:r>
    </w:p>
  </w:footnote>
  <w:footnote w:id="5">
    <w:p w14:paraId="482459E7" w14:textId="1AFADF46" w:rsidR="00C14253" w:rsidRPr="00570190" w:rsidRDefault="00C14253" w:rsidP="00127E1B">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B. </w:t>
      </w:r>
      <w:r w:rsidRPr="00570190">
        <w:rPr>
          <w:rFonts w:ascii="Times New Roman" w:hAnsi="Times New Roman" w:cs="Times New Roman"/>
          <w:smallCaps/>
          <w:sz w:val="20"/>
          <w:szCs w:val="20"/>
        </w:rPr>
        <w:t>Guillochon</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Economie internationale</w:t>
      </w:r>
      <w:r w:rsidRPr="00570190">
        <w:rPr>
          <w:rFonts w:ascii="Times New Roman" w:hAnsi="Times New Roman" w:cs="Times New Roman"/>
          <w:sz w:val="20"/>
          <w:szCs w:val="20"/>
        </w:rPr>
        <w:t>, Paris, Dunod, 1994, p. 49.</w:t>
      </w:r>
    </w:p>
  </w:footnote>
  <w:footnote w:id="6">
    <w:p w14:paraId="3599D9DF" w14:textId="21697C4D" w:rsidR="00C14253" w:rsidRPr="00570190" w:rsidRDefault="00C14253" w:rsidP="00127E1B">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D. Salvatore,</w:t>
      </w:r>
      <w:r w:rsidRPr="00570190">
        <w:rPr>
          <w:rFonts w:ascii="Times New Roman" w:hAnsi="Times New Roman" w:cs="Times New Roman"/>
          <w:i/>
          <w:sz w:val="20"/>
          <w:szCs w:val="20"/>
        </w:rPr>
        <w:t xml:space="preserve"> Economie internationale, op. cit.</w:t>
      </w:r>
      <w:r w:rsidRPr="00570190">
        <w:rPr>
          <w:rFonts w:ascii="Times New Roman" w:hAnsi="Times New Roman" w:cs="Times New Roman"/>
          <w:sz w:val="20"/>
          <w:szCs w:val="20"/>
        </w:rPr>
        <w:t>, p. 49.</w:t>
      </w:r>
    </w:p>
  </w:footnote>
  <w:footnote w:id="7">
    <w:p w14:paraId="6A480984" w14:textId="77777777" w:rsidR="00C14253" w:rsidRPr="00570190" w:rsidRDefault="00C14253" w:rsidP="00127E1B">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pp. 49 et 50.</w:t>
      </w:r>
    </w:p>
  </w:footnote>
  <w:footnote w:id="8">
    <w:p w14:paraId="68A1EE0F" w14:textId="7DB13C59" w:rsidR="00C14253" w:rsidRPr="00570190" w:rsidRDefault="00C14253" w:rsidP="00127E1B">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M. Rainelli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Le commerce international</w:t>
      </w:r>
      <w:r w:rsidRPr="00570190">
        <w:rPr>
          <w:rFonts w:ascii="Times New Roman" w:hAnsi="Times New Roman" w:cs="Times New Roman"/>
          <w:sz w:val="20"/>
          <w:szCs w:val="20"/>
        </w:rPr>
        <w:t>, 10</w:t>
      </w:r>
      <w:r w:rsidRPr="00570190">
        <w:rPr>
          <w:rFonts w:ascii="Times New Roman" w:hAnsi="Times New Roman" w:cs="Times New Roman"/>
          <w:sz w:val="20"/>
          <w:szCs w:val="20"/>
          <w:vertAlign w:val="superscript"/>
        </w:rPr>
        <w:t>e</w:t>
      </w:r>
      <w:r w:rsidRPr="00570190">
        <w:rPr>
          <w:rFonts w:ascii="Times New Roman" w:hAnsi="Times New Roman" w:cs="Times New Roman"/>
          <w:sz w:val="20"/>
          <w:szCs w:val="20"/>
        </w:rPr>
        <w:t xml:space="preserve"> édition, Collection Repères, Paris, La Découverte, 2009, pp. 29 et 30.</w:t>
      </w:r>
    </w:p>
  </w:footnote>
  <w:footnote w:id="9">
    <w:p w14:paraId="27369EE0" w14:textId="33B23CFC" w:rsidR="00C14253" w:rsidRPr="00570190" w:rsidRDefault="00C14253" w:rsidP="00127E1B">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P. Ruttley, I. MacVay</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Liberalism and protectionnism in the world trading system</w:t>
      </w:r>
      <w:r w:rsidRPr="00570190">
        <w:rPr>
          <w:rFonts w:ascii="Times New Roman" w:hAnsi="Times New Roman" w:cs="Times New Roman"/>
          <w:sz w:val="20"/>
          <w:szCs w:val="20"/>
        </w:rPr>
        <w:t xml:space="preserve">, London, Cameron May, 1999, pp. 56 et 216 ; M. Rainelli, </w:t>
      </w:r>
      <w:r w:rsidRPr="00570190">
        <w:rPr>
          <w:rFonts w:ascii="Times New Roman" w:hAnsi="Times New Roman" w:cs="Times New Roman"/>
          <w:i/>
          <w:sz w:val="20"/>
          <w:szCs w:val="20"/>
        </w:rPr>
        <w:t>op. cit.</w:t>
      </w:r>
      <w:r w:rsidRPr="00570190">
        <w:rPr>
          <w:rFonts w:ascii="Times New Roman" w:hAnsi="Times New Roman" w:cs="Times New Roman"/>
          <w:sz w:val="20"/>
          <w:szCs w:val="20"/>
        </w:rPr>
        <w:t>, pp. 29 et 30.</w:t>
      </w:r>
    </w:p>
  </w:footnote>
  <w:footnote w:id="10">
    <w:p w14:paraId="7579C0A7" w14:textId="0DE37455" w:rsidR="00C14253" w:rsidRPr="00570190" w:rsidRDefault="00C14253" w:rsidP="00127E1B">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P. Ruttley, I. MacVay</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216.</w:t>
      </w:r>
    </w:p>
  </w:footnote>
  <w:footnote w:id="11">
    <w:p w14:paraId="5AE0B93B" w14:textId="51EB19D5"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S. </w:t>
      </w:r>
      <w:r w:rsidRPr="00570190">
        <w:rPr>
          <w:rFonts w:ascii="Times New Roman" w:hAnsi="Times New Roman" w:cs="Times New Roman"/>
          <w:smallCaps/>
          <w:sz w:val="20"/>
          <w:szCs w:val="20"/>
        </w:rPr>
        <w:t>D’Agostino</w:t>
      </w:r>
      <w:r w:rsidRPr="00570190">
        <w:rPr>
          <w:rFonts w:ascii="Times New Roman" w:hAnsi="Times New Roman" w:cs="Times New Roman"/>
          <w:sz w:val="20"/>
          <w:szCs w:val="20"/>
        </w:rPr>
        <w:t xml:space="preserve">, P. </w:t>
      </w:r>
      <w:r w:rsidRPr="00570190">
        <w:rPr>
          <w:rFonts w:ascii="Times New Roman" w:hAnsi="Times New Roman" w:cs="Times New Roman"/>
          <w:smallCaps/>
          <w:sz w:val="20"/>
          <w:szCs w:val="20"/>
        </w:rPr>
        <w:t>Deubel, M. Mantoussé, G. Renouard</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rPr>
        <w:t xml:space="preserve">p. 456 ; P. </w:t>
      </w:r>
      <w:r w:rsidRPr="00570190">
        <w:rPr>
          <w:rFonts w:ascii="Times New Roman" w:hAnsi="Times New Roman" w:cs="Times New Roman"/>
          <w:smallCaps/>
          <w:sz w:val="20"/>
          <w:szCs w:val="20"/>
        </w:rPr>
        <w:t>Deyon,</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Le mercantilisme</w:t>
      </w:r>
      <w:r w:rsidRPr="00570190">
        <w:rPr>
          <w:rFonts w:ascii="Times New Roman" w:hAnsi="Times New Roman" w:cs="Times New Roman"/>
          <w:sz w:val="20"/>
          <w:szCs w:val="20"/>
        </w:rPr>
        <w:t>, Paris, Flammarion, 1969, p. 24.</w:t>
      </w:r>
    </w:p>
  </w:footnote>
  <w:footnote w:id="12">
    <w:p w14:paraId="7A2F024B" w14:textId="3D03CB12" w:rsidR="00C14253" w:rsidRPr="00570190" w:rsidRDefault="00C14253" w:rsidP="00127E1B">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sz w:val="20"/>
          <w:szCs w:val="20"/>
        </w:rPr>
        <w:t xml:space="preserve">S. </w:t>
      </w:r>
      <w:r w:rsidRPr="00570190">
        <w:rPr>
          <w:rFonts w:ascii="Times New Roman" w:hAnsi="Times New Roman" w:cs="Times New Roman"/>
          <w:smallCaps/>
          <w:sz w:val="20"/>
          <w:szCs w:val="20"/>
        </w:rPr>
        <w:t>D’Agostino</w:t>
      </w:r>
      <w:r w:rsidRPr="00570190">
        <w:rPr>
          <w:rFonts w:ascii="Times New Roman" w:hAnsi="Times New Roman" w:cs="Times New Roman"/>
          <w:sz w:val="20"/>
          <w:szCs w:val="20"/>
        </w:rPr>
        <w:t xml:space="preserve">, P. </w:t>
      </w:r>
      <w:r w:rsidRPr="00570190">
        <w:rPr>
          <w:rFonts w:ascii="Times New Roman" w:hAnsi="Times New Roman" w:cs="Times New Roman"/>
          <w:smallCaps/>
          <w:sz w:val="20"/>
          <w:szCs w:val="20"/>
        </w:rPr>
        <w:t>Deubel, M. Mantoussé, G. Renouard</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 456 ; P. </w:t>
      </w:r>
      <w:r w:rsidRPr="00570190">
        <w:rPr>
          <w:rFonts w:ascii="Times New Roman" w:hAnsi="Times New Roman" w:cs="Times New Roman"/>
          <w:smallCaps/>
          <w:sz w:val="20"/>
          <w:szCs w:val="20"/>
        </w:rPr>
        <w:t>Deyon</w:t>
      </w:r>
      <w:r w:rsidRPr="00570190">
        <w:rPr>
          <w:rFonts w:ascii="Times New Roman" w:hAnsi="Times New Roman" w:cs="Times New Roman"/>
          <w:i/>
          <w:sz w:val="20"/>
          <w:szCs w:val="20"/>
        </w:rPr>
        <w:t>, op. cit.</w:t>
      </w:r>
      <w:r w:rsidRPr="00570190">
        <w:rPr>
          <w:rFonts w:ascii="Times New Roman" w:hAnsi="Times New Roman" w:cs="Times New Roman"/>
          <w:sz w:val="20"/>
          <w:szCs w:val="20"/>
        </w:rPr>
        <w:t>, p. 25.</w:t>
      </w:r>
    </w:p>
  </w:footnote>
  <w:footnote w:id="13">
    <w:p w14:paraId="7877ECBB" w14:textId="77777777" w:rsidR="00C14253" w:rsidRPr="00570190" w:rsidRDefault="00C14253" w:rsidP="00127E1B">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P. </w:t>
      </w:r>
      <w:r w:rsidRPr="00570190">
        <w:rPr>
          <w:rFonts w:ascii="Times New Roman" w:hAnsi="Times New Roman" w:cs="Times New Roman"/>
          <w:smallCaps/>
          <w:sz w:val="20"/>
          <w:szCs w:val="20"/>
        </w:rPr>
        <w:t>Deyon</w:t>
      </w:r>
      <w:r w:rsidRPr="00570190">
        <w:rPr>
          <w:rFonts w:ascii="Times New Roman" w:hAnsi="Times New Roman" w:cs="Times New Roman"/>
          <w:i/>
          <w:sz w:val="20"/>
          <w:szCs w:val="20"/>
        </w:rPr>
        <w:t>, op. cit.</w:t>
      </w:r>
      <w:r w:rsidRPr="00570190">
        <w:rPr>
          <w:rFonts w:ascii="Times New Roman" w:hAnsi="Times New Roman" w:cs="Times New Roman"/>
          <w:sz w:val="20"/>
          <w:szCs w:val="20"/>
        </w:rPr>
        <w:t>, p. 25.</w:t>
      </w:r>
    </w:p>
  </w:footnote>
  <w:footnote w:id="14">
    <w:p w14:paraId="2BC1BAF2" w14:textId="2F03C5E2" w:rsidR="00C14253" w:rsidRPr="00570190" w:rsidRDefault="00C14253" w:rsidP="00CA3667">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S. </w:t>
      </w:r>
      <w:r w:rsidRPr="00570190">
        <w:rPr>
          <w:rFonts w:ascii="Times New Roman" w:hAnsi="Times New Roman" w:cs="Times New Roman"/>
          <w:smallCaps/>
          <w:sz w:val="20"/>
          <w:szCs w:val="20"/>
        </w:rPr>
        <w:t>D’Agostino</w:t>
      </w:r>
      <w:r w:rsidRPr="00570190">
        <w:rPr>
          <w:rFonts w:ascii="Times New Roman" w:hAnsi="Times New Roman" w:cs="Times New Roman"/>
          <w:sz w:val="20"/>
          <w:szCs w:val="20"/>
        </w:rPr>
        <w:t xml:space="preserve">, P. </w:t>
      </w:r>
      <w:r w:rsidRPr="00570190">
        <w:rPr>
          <w:rFonts w:ascii="Times New Roman" w:hAnsi="Times New Roman" w:cs="Times New Roman"/>
          <w:smallCaps/>
          <w:sz w:val="20"/>
          <w:szCs w:val="20"/>
        </w:rPr>
        <w:t>Deubel, M. Mantoussé, G. Renouard</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 456 ; P. </w:t>
      </w:r>
      <w:r w:rsidRPr="00570190">
        <w:rPr>
          <w:rFonts w:ascii="Times New Roman" w:hAnsi="Times New Roman" w:cs="Times New Roman"/>
          <w:smallCaps/>
          <w:sz w:val="20"/>
          <w:szCs w:val="20"/>
        </w:rPr>
        <w:t>Deyon</w:t>
      </w:r>
      <w:r w:rsidRPr="00570190">
        <w:rPr>
          <w:rFonts w:ascii="Times New Roman" w:hAnsi="Times New Roman" w:cs="Times New Roman"/>
          <w:i/>
          <w:sz w:val="20"/>
          <w:szCs w:val="20"/>
        </w:rPr>
        <w:t>, op. cit.</w:t>
      </w:r>
      <w:r w:rsidRPr="00570190">
        <w:rPr>
          <w:rFonts w:ascii="Times New Roman" w:hAnsi="Times New Roman" w:cs="Times New Roman"/>
          <w:sz w:val="20"/>
          <w:szCs w:val="20"/>
        </w:rPr>
        <w:t>, p. 25.</w:t>
      </w:r>
    </w:p>
  </w:footnote>
  <w:footnote w:id="15">
    <w:p w14:paraId="422D96E1" w14:textId="77777777" w:rsidR="00C14253" w:rsidRPr="00570190" w:rsidRDefault="00C14253" w:rsidP="00127E1B">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P. </w:t>
      </w:r>
      <w:r w:rsidRPr="00570190">
        <w:rPr>
          <w:rFonts w:ascii="Times New Roman" w:hAnsi="Times New Roman" w:cs="Times New Roman"/>
          <w:smallCaps/>
          <w:sz w:val="20"/>
          <w:szCs w:val="20"/>
        </w:rPr>
        <w:t>Deyon</w:t>
      </w:r>
      <w:r w:rsidRPr="00570190">
        <w:rPr>
          <w:rFonts w:ascii="Times New Roman" w:hAnsi="Times New Roman" w:cs="Times New Roman"/>
          <w:i/>
          <w:sz w:val="20"/>
          <w:szCs w:val="20"/>
        </w:rPr>
        <w:t>, op. cit.</w:t>
      </w:r>
      <w:r w:rsidRPr="00570190">
        <w:rPr>
          <w:rFonts w:ascii="Times New Roman" w:hAnsi="Times New Roman" w:cs="Times New Roman"/>
          <w:sz w:val="20"/>
          <w:szCs w:val="20"/>
        </w:rPr>
        <w:t>, p. 25.</w:t>
      </w:r>
    </w:p>
  </w:footnote>
  <w:footnote w:id="16">
    <w:p w14:paraId="6A01FBB8" w14:textId="269DDEEA" w:rsidR="00C14253" w:rsidRPr="00570190" w:rsidRDefault="00C14253" w:rsidP="00127E1B">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Y. </w:t>
      </w:r>
      <w:r w:rsidRPr="00570190">
        <w:rPr>
          <w:rFonts w:ascii="Times New Roman" w:hAnsi="Times New Roman" w:cs="Times New Roman"/>
          <w:smallCaps/>
          <w:sz w:val="20"/>
          <w:szCs w:val="20"/>
        </w:rPr>
        <w:t>Guyot,</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La science économique : ses lois inductives</w:t>
      </w:r>
      <w:r w:rsidRPr="00570190">
        <w:rPr>
          <w:rFonts w:ascii="Times New Roman" w:hAnsi="Times New Roman" w:cs="Times New Roman"/>
          <w:sz w:val="20"/>
          <w:szCs w:val="20"/>
        </w:rPr>
        <w:t xml:space="preserve">, Paris, Reinwald, 1907, p. 24 ; M. </w:t>
      </w:r>
      <w:r w:rsidRPr="00570190">
        <w:rPr>
          <w:rFonts w:ascii="Times New Roman" w:hAnsi="Times New Roman" w:cs="Times New Roman"/>
          <w:smallCaps/>
          <w:sz w:val="20"/>
          <w:szCs w:val="20"/>
        </w:rPr>
        <w:t>Bouvier-Ajam</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Traité d’économie politique et d’histoire des doctrines économiques : </w:t>
      </w:r>
      <w:r w:rsidRPr="00570190">
        <w:rPr>
          <w:rFonts w:ascii="Times New Roman" w:hAnsi="Times New Roman" w:cs="Times New Roman"/>
          <w:i/>
          <w:color w:val="262626"/>
          <w:sz w:val="20"/>
          <w:szCs w:val="20"/>
        </w:rPr>
        <w:t>Richesse et misère du monde, données et structures économiques</w:t>
      </w:r>
      <w:r w:rsidRPr="00570190">
        <w:rPr>
          <w:rFonts w:ascii="Times New Roman" w:hAnsi="Times New Roman" w:cs="Times New Roman"/>
          <w:sz w:val="20"/>
          <w:szCs w:val="20"/>
        </w:rPr>
        <w:t>, Paris, Plon, 1952, p. 61.</w:t>
      </w:r>
    </w:p>
  </w:footnote>
  <w:footnote w:id="17">
    <w:p w14:paraId="6922B4B5" w14:textId="77777777"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M. </w:t>
      </w:r>
      <w:r w:rsidRPr="00570190">
        <w:rPr>
          <w:rFonts w:ascii="Times New Roman" w:hAnsi="Times New Roman" w:cs="Times New Roman"/>
          <w:smallCaps/>
          <w:sz w:val="20"/>
          <w:szCs w:val="20"/>
        </w:rPr>
        <w:t>Bouvier-Ajam</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Traité d’économie politique et d’histoire des doctrines économiques : </w:t>
      </w:r>
      <w:r w:rsidRPr="00570190">
        <w:rPr>
          <w:rFonts w:ascii="Times New Roman" w:hAnsi="Times New Roman" w:cs="Times New Roman"/>
          <w:i/>
          <w:color w:val="262626"/>
          <w:sz w:val="20"/>
          <w:szCs w:val="20"/>
        </w:rPr>
        <w:t>Richesse et misère du monde, données et structures économiques</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61.</w:t>
      </w:r>
    </w:p>
  </w:footnote>
  <w:footnote w:id="18">
    <w:p w14:paraId="737B6F0C" w14:textId="16BDC271" w:rsidR="00C14253" w:rsidRPr="00570190" w:rsidRDefault="00C14253" w:rsidP="00127E1B">
      <w:pPr>
        <w:jc w:val="both"/>
        <w:rPr>
          <w:rFonts w:ascii="Times New Roman" w:hAnsi="Times New Roman" w:cs="Times New Roman"/>
          <w:sz w:val="20"/>
          <w:szCs w:val="20"/>
        </w:rPr>
      </w:pPr>
      <w:r w:rsidRPr="00570190">
        <w:rPr>
          <w:rStyle w:val="Marquenotebasdepage"/>
          <w:rFonts w:ascii="Times New Roman" w:hAnsi="Times New Roman" w:cs="Times New Roman"/>
          <w:smallCaps/>
          <w:sz w:val="20"/>
          <w:szCs w:val="20"/>
        </w:rPr>
        <w:footnoteRef/>
      </w:r>
      <w:r w:rsidRPr="00570190">
        <w:rPr>
          <w:rFonts w:ascii="Times New Roman" w:hAnsi="Times New Roman" w:cs="Times New Roman"/>
          <w:smallCaps/>
          <w:sz w:val="20"/>
          <w:szCs w:val="20"/>
        </w:rPr>
        <w:t xml:space="preserve"> R. Schnerb,</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Libre-échange et protectionnisme</w:t>
      </w:r>
      <w:r w:rsidRPr="00570190">
        <w:rPr>
          <w:rFonts w:ascii="Times New Roman" w:hAnsi="Times New Roman" w:cs="Times New Roman"/>
          <w:sz w:val="20"/>
          <w:szCs w:val="20"/>
        </w:rPr>
        <w:t>, Paris, Presse universitaire de France, 1963, p. 46.</w:t>
      </w:r>
    </w:p>
    <w:p w14:paraId="616023C2" w14:textId="08D923E0" w:rsidR="00C14253" w:rsidRPr="00570190" w:rsidRDefault="00C14253" w:rsidP="00127E1B">
      <w:pPr>
        <w:pStyle w:val="Notedebasdepage"/>
        <w:rPr>
          <w:rFonts w:ascii="Times New Roman" w:hAnsi="Times New Roman" w:cs="Times New Roman"/>
          <w:sz w:val="20"/>
          <w:szCs w:val="20"/>
          <w:lang w:val="nl-NL"/>
        </w:rPr>
      </w:pPr>
      <w:r w:rsidRPr="00570190">
        <w:rPr>
          <w:rFonts w:ascii="Times New Roman" w:hAnsi="Times New Roman" w:cs="Times New Roman"/>
          <w:sz w:val="20"/>
          <w:szCs w:val="20"/>
        </w:rPr>
        <w:t>p. 21 ;</w:t>
      </w:r>
      <w:r w:rsidRPr="00570190">
        <w:rPr>
          <w:rFonts w:ascii="Times New Roman" w:hAnsi="Times New Roman" w:cs="Times New Roman"/>
          <w:smallCaps/>
          <w:sz w:val="20"/>
          <w:szCs w:val="20"/>
        </w:rPr>
        <w:t xml:space="preserve"> M. Montoussé, S. D’Agostino, A. Chaffel, J.-M. Huart</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Analyse économique et historique des sociétés contemporaines</w:t>
      </w:r>
      <w:r w:rsidRPr="00570190">
        <w:rPr>
          <w:rFonts w:ascii="Times New Roman" w:hAnsi="Times New Roman" w:cs="Times New Roman"/>
          <w:sz w:val="20"/>
          <w:szCs w:val="20"/>
        </w:rPr>
        <w:t>, Paris, Bréal, 2007, p. 83.</w:t>
      </w:r>
    </w:p>
  </w:footnote>
  <w:footnote w:id="19">
    <w:p w14:paraId="4048A1D1" w14:textId="09BCD59B" w:rsidR="00C14253" w:rsidRPr="00570190" w:rsidRDefault="00C14253" w:rsidP="00127E1B">
      <w:pPr>
        <w:tabs>
          <w:tab w:val="left" w:pos="2600"/>
        </w:tabs>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 xml:space="preserve"> S. D’Agostino</w:t>
      </w:r>
      <w:r w:rsidRPr="00570190">
        <w:rPr>
          <w:rFonts w:ascii="Times New Roman" w:hAnsi="Times New Roman" w:cs="Times New Roman"/>
          <w:sz w:val="20"/>
          <w:szCs w:val="20"/>
        </w:rPr>
        <w:t xml:space="preserve">, P. </w:t>
      </w:r>
      <w:r w:rsidRPr="00570190">
        <w:rPr>
          <w:rFonts w:ascii="Times New Roman" w:hAnsi="Times New Roman" w:cs="Times New Roman"/>
          <w:smallCaps/>
          <w:sz w:val="20"/>
          <w:szCs w:val="20"/>
        </w:rPr>
        <w:t>Deubel, M. Mantoussé, G. Renouard</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456.</w:t>
      </w:r>
    </w:p>
  </w:footnote>
  <w:footnote w:id="20">
    <w:p w14:paraId="3D74AEAF" w14:textId="29411B13"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 xml:space="preserve"> M. Montoussé, S. D’Agostino, A. Chaffel, J.-M. Huart</w:t>
      </w:r>
      <w:r w:rsidRPr="00570190">
        <w:rPr>
          <w:rFonts w:ascii="Times New Roman" w:hAnsi="Times New Roman" w:cs="Times New Roman"/>
          <w:i/>
          <w:sz w:val="20"/>
          <w:szCs w:val="20"/>
        </w:rPr>
        <w:t>, op. cit.</w:t>
      </w:r>
      <w:r w:rsidRPr="00570190">
        <w:rPr>
          <w:rFonts w:ascii="Times New Roman" w:hAnsi="Times New Roman" w:cs="Times New Roman"/>
          <w:sz w:val="20"/>
          <w:szCs w:val="20"/>
        </w:rPr>
        <w:t>, pp. 83 et 84.</w:t>
      </w:r>
    </w:p>
  </w:footnote>
  <w:footnote w:id="21">
    <w:p w14:paraId="405E4EA9" w14:textId="369BD7DB"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M. </w:t>
      </w:r>
      <w:r w:rsidRPr="00570190">
        <w:rPr>
          <w:rFonts w:ascii="Times New Roman" w:hAnsi="Times New Roman" w:cs="Times New Roman"/>
          <w:smallCaps/>
          <w:sz w:val="20"/>
          <w:szCs w:val="20"/>
        </w:rPr>
        <w:t>Bouvier-Ajam</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p. 62.</w:t>
      </w:r>
    </w:p>
  </w:footnote>
  <w:footnote w:id="22">
    <w:p w14:paraId="7CFC7020" w14:textId="38AF42A0"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M. Montoussé, S. D’Agostino, A. Chaffel, J.-M. Huart</w:t>
      </w:r>
      <w:r w:rsidRPr="00570190">
        <w:rPr>
          <w:rFonts w:ascii="Times New Roman" w:hAnsi="Times New Roman" w:cs="Times New Roman"/>
          <w:sz w:val="20"/>
          <w:szCs w:val="20"/>
        </w:rPr>
        <w:t>,</w:t>
      </w:r>
      <w:r w:rsidRPr="00570190">
        <w:rPr>
          <w:rFonts w:ascii="Times New Roman" w:hAnsi="Times New Roman" w:cs="Times New Roman"/>
          <w:i/>
          <w:sz w:val="20"/>
          <w:szCs w:val="20"/>
        </w:rPr>
        <w:t xml:space="preserve"> op. cit.,</w:t>
      </w:r>
      <w:r w:rsidRPr="00570190">
        <w:rPr>
          <w:rFonts w:ascii="Times New Roman" w:hAnsi="Times New Roman" w:cs="Times New Roman"/>
          <w:sz w:val="20"/>
          <w:szCs w:val="20"/>
        </w:rPr>
        <w:t xml:space="preserve"> p. 84.</w:t>
      </w:r>
    </w:p>
  </w:footnote>
  <w:footnote w:id="23">
    <w:p w14:paraId="7B666772" w14:textId="7E9C01EE"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 xml:space="preserve"> </w:t>
      </w:r>
      <w:r w:rsidRPr="00570190">
        <w:rPr>
          <w:rFonts w:ascii="Times New Roman" w:hAnsi="Times New Roman" w:cs="Times New Roman"/>
          <w:i/>
          <w:smallCaps/>
          <w:sz w:val="20"/>
          <w:szCs w:val="20"/>
        </w:rPr>
        <w:t>I</w:t>
      </w:r>
      <w:r w:rsidRPr="00570190">
        <w:rPr>
          <w:rFonts w:ascii="Times New Roman" w:hAnsi="Times New Roman" w:cs="Times New Roman"/>
          <w:i/>
          <w:iCs/>
          <w:sz w:val="20"/>
          <w:szCs w:val="20"/>
        </w:rPr>
        <w:t>bid.</w:t>
      </w:r>
      <w:r w:rsidRPr="00570190">
        <w:rPr>
          <w:rFonts w:ascii="Times New Roman" w:hAnsi="Times New Roman" w:cs="Times New Roman"/>
          <w:i/>
          <w:sz w:val="20"/>
          <w:szCs w:val="20"/>
        </w:rPr>
        <w:t>,</w:t>
      </w:r>
      <w:r w:rsidRPr="00570190">
        <w:rPr>
          <w:rFonts w:ascii="Times New Roman" w:hAnsi="Times New Roman" w:cs="Times New Roman"/>
          <w:sz w:val="20"/>
          <w:szCs w:val="20"/>
        </w:rPr>
        <w:t xml:space="preserve"> p. 84.</w:t>
      </w:r>
    </w:p>
  </w:footnote>
  <w:footnote w:id="24">
    <w:p w14:paraId="229B68F1" w14:textId="06F3F168"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mallCaps/>
          <w:sz w:val="20"/>
          <w:szCs w:val="20"/>
        </w:rPr>
        <w:t>I</w:t>
      </w:r>
      <w:r w:rsidRPr="00570190">
        <w:rPr>
          <w:rFonts w:ascii="Times New Roman" w:hAnsi="Times New Roman" w:cs="Times New Roman"/>
          <w:i/>
          <w:iCs/>
          <w:sz w:val="20"/>
          <w:szCs w:val="20"/>
        </w:rPr>
        <w:t>bid.</w:t>
      </w:r>
      <w:r w:rsidRPr="00570190">
        <w:rPr>
          <w:rFonts w:ascii="Times New Roman" w:hAnsi="Times New Roman" w:cs="Times New Roman"/>
          <w:i/>
          <w:sz w:val="20"/>
          <w:szCs w:val="20"/>
        </w:rPr>
        <w:t>,</w:t>
      </w:r>
      <w:r w:rsidRPr="00570190">
        <w:rPr>
          <w:rFonts w:ascii="Times New Roman" w:hAnsi="Times New Roman" w:cs="Times New Roman"/>
          <w:sz w:val="20"/>
          <w:szCs w:val="20"/>
        </w:rPr>
        <w:t xml:space="preserve"> p. 85.</w:t>
      </w:r>
    </w:p>
  </w:footnote>
  <w:footnote w:id="25">
    <w:p w14:paraId="3F15A803" w14:textId="3B2FF61C"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 xml:space="preserve"> </w:t>
      </w:r>
      <w:r w:rsidRPr="00570190">
        <w:rPr>
          <w:rFonts w:ascii="Times New Roman" w:hAnsi="Times New Roman" w:cs="Times New Roman"/>
          <w:i/>
          <w:smallCaps/>
          <w:sz w:val="20"/>
          <w:szCs w:val="20"/>
        </w:rPr>
        <w:t>I</w:t>
      </w:r>
      <w:r w:rsidRPr="00570190">
        <w:rPr>
          <w:rFonts w:ascii="Times New Roman" w:hAnsi="Times New Roman" w:cs="Times New Roman"/>
          <w:i/>
          <w:iCs/>
          <w:sz w:val="20"/>
          <w:szCs w:val="20"/>
        </w:rPr>
        <w:t>bid.</w:t>
      </w:r>
      <w:r w:rsidRPr="00570190">
        <w:rPr>
          <w:rFonts w:ascii="Times New Roman" w:hAnsi="Times New Roman" w:cs="Times New Roman"/>
          <w:i/>
          <w:sz w:val="20"/>
          <w:szCs w:val="20"/>
        </w:rPr>
        <w:t>,</w:t>
      </w:r>
      <w:r w:rsidRPr="00570190">
        <w:rPr>
          <w:rFonts w:ascii="Times New Roman" w:hAnsi="Times New Roman" w:cs="Times New Roman"/>
          <w:sz w:val="20"/>
          <w:szCs w:val="20"/>
        </w:rPr>
        <w:t xml:space="preserve"> p. 85 ; P. </w:t>
      </w:r>
      <w:r w:rsidRPr="00570190">
        <w:rPr>
          <w:rFonts w:ascii="Times New Roman" w:hAnsi="Times New Roman" w:cs="Times New Roman"/>
          <w:smallCaps/>
          <w:sz w:val="20"/>
          <w:szCs w:val="20"/>
        </w:rPr>
        <w:t>Deyon,</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22.</w:t>
      </w:r>
    </w:p>
  </w:footnote>
  <w:footnote w:id="26">
    <w:p w14:paraId="3CDB595A" w14:textId="320D5FF2"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rPr>
        <w:t xml:space="preserve"> Ibid.</w:t>
      </w:r>
      <w:r w:rsidRPr="00570190">
        <w:rPr>
          <w:rFonts w:ascii="Times New Roman" w:hAnsi="Times New Roman" w:cs="Times New Roman"/>
          <w:sz w:val="20"/>
          <w:szCs w:val="20"/>
        </w:rPr>
        <w:t xml:space="preserve">, pp. 84 et 85 ; P. </w:t>
      </w:r>
      <w:r w:rsidRPr="00570190">
        <w:rPr>
          <w:rFonts w:ascii="Times New Roman" w:hAnsi="Times New Roman" w:cs="Times New Roman"/>
          <w:smallCaps/>
          <w:sz w:val="20"/>
          <w:szCs w:val="20"/>
        </w:rPr>
        <w:t>Deyon</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23.</w:t>
      </w:r>
    </w:p>
  </w:footnote>
  <w:footnote w:id="27">
    <w:p w14:paraId="45FF9881" w14:textId="514870ED"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P. </w:t>
      </w:r>
      <w:r w:rsidRPr="00570190">
        <w:rPr>
          <w:rFonts w:ascii="Times New Roman" w:hAnsi="Times New Roman" w:cs="Times New Roman"/>
          <w:smallCaps/>
          <w:sz w:val="20"/>
          <w:szCs w:val="20"/>
        </w:rPr>
        <w:t>Deyon</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24.</w:t>
      </w:r>
    </w:p>
  </w:footnote>
  <w:footnote w:id="28">
    <w:p w14:paraId="798A5949" w14:textId="462695AA"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xml:space="preserve">., p. 24 ; </w:t>
      </w:r>
      <w:r w:rsidRPr="00570190">
        <w:rPr>
          <w:rFonts w:ascii="Times New Roman" w:hAnsi="Times New Roman" w:cs="Times New Roman"/>
          <w:smallCaps/>
          <w:sz w:val="20"/>
          <w:szCs w:val="20"/>
        </w:rPr>
        <w:t>S. D’Agostino</w:t>
      </w:r>
      <w:r w:rsidRPr="00570190">
        <w:rPr>
          <w:rFonts w:ascii="Times New Roman" w:hAnsi="Times New Roman" w:cs="Times New Roman"/>
          <w:sz w:val="20"/>
          <w:szCs w:val="20"/>
        </w:rPr>
        <w:t xml:space="preserve">, P. </w:t>
      </w:r>
      <w:r w:rsidRPr="00570190">
        <w:rPr>
          <w:rFonts w:ascii="Times New Roman" w:hAnsi="Times New Roman" w:cs="Times New Roman"/>
          <w:smallCaps/>
          <w:sz w:val="20"/>
          <w:szCs w:val="20"/>
        </w:rPr>
        <w:t>Deubel, M. Mantoussé, G. Renouard</w:t>
      </w:r>
      <w:r w:rsidRPr="00570190">
        <w:rPr>
          <w:rFonts w:ascii="Times New Roman" w:hAnsi="Times New Roman" w:cs="Times New Roman"/>
          <w:sz w:val="20"/>
          <w:szCs w:val="20"/>
        </w:rPr>
        <w:t xml:space="preserve">, , </w:t>
      </w:r>
      <w:r w:rsidRPr="00570190">
        <w:rPr>
          <w:rFonts w:ascii="Times New Roman" w:hAnsi="Times New Roman" w:cs="Times New Roman"/>
          <w:i/>
          <w:sz w:val="20"/>
          <w:szCs w:val="20"/>
        </w:rPr>
        <w:t>op. cit.</w:t>
      </w:r>
      <w:r w:rsidRPr="00570190">
        <w:rPr>
          <w:rFonts w:ascii="Times New Roman" w:hAnsi="Times New Roman" w:cs="Times New Roman"/>
          <w:sz w:val="20"/>
          <w:szCs w:val="20"/>
        </w:rPr>
        <w:t>, p. 458.</w:t>
      </w:r>
    </w:p>
  </w:footnote>
  <w:footnote w:id="29">
    <w:p w14:paraId="4B905036" w14:textId="63210997"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P. </w:t>
      </w:r>
      <w:r w:rsidRPr="00570190">
        <w:rPr>
          <w:rFonts w:ascii="Times New Roman" w:hAnsi="Times New Roman" w:cs="Times New Roman"/>
          <w:smallCaps/>
          <w:sz w:val="20"/>
          <w:szCs w:val="20"/>
        </w:rPr>
        <w:t>Deyon,</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25.</w:t>
      </w:r>
    </w:p>
  </w:footnote>
  <w:footnote w:id="30">
    <w:p w14:paraId="7A6209D8" w14:textId="6468E9C1" w:rsidR="00C14253" w:rsidRPr="00570190" w:rsidRDefault="00C14253" w:rsidP="00127E1B">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J.-M. Jeanneney</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Pour un nouveau protectionnisme,</w:t>
      </w:r>
      <w:r w:rsidRPr="00570190">
        <w:rPr>
          <w:rFonts w:ascii="Times New Roman" w:hAnsi="Times New Roman" w:cs="Times New Roman"/>
          <w:sz w:val="20"/>
          <w:szCs w:val="20"/>
        </w:rPr>
        <w:t xml:space="preserve"> Paris, Seuil, 1978, pp. 18-20.</w:t>
      </w:r>
    </w:p>
  </w:footnote>
  <w:footnote w:id="31">
    <w:p w14:paraId="1E20A8B2" w14:textId="717D5079" w:rsidR="00C14253" w:rsidRPr="00570190" w:rsidRDefault="00C14253" w:rsidP="00127E1B">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Ronald A., Reiss, « The World Trade Organization (Global Organization) », New York, Peggy Kahn, june 2009, 2009, p. 138.</w:t>
      </w:r>
    </w:p>
  </w:footnote>
  <w:footnote w:id="32">
    <w:p w14:paraId="65F466A4" w14:textId="1B538FCD" w:rsidR="00C14253" w:rsidRPr="00570190" w:rsidRDefault="00C14253" w:rsidP="00127E1B">
      <w:pPr>
        <w:pStyle w:val="Notedebasdepage"/>
        <w:rPr>
          <w:rFonts w:ascii="Times New Roman" w:hAnsi="Times New Roman" w:cs="Times New Roman"/>
          <w:iCs/>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hyperlink r:id="rId1" w:history="1">
        <w:r w:rsidRPr="00570190">
          <w:rPr>
            <w:rStyle w:val="Lienhypertexte"/>
            <w:rFonts w:ascii="Times New Roman" w:hAnsi="Times New Roman" w:cs="Times New Roman"/>
            <w:color w:val="auto"/>
            <w:sz w:val="20"/>
            <w:szCs w:val="20"/>
          </w:rPr>
          <w:t>http://www.ochres.org/83_p_28101/libre-echange-ou-protectionnisme.html</w:t>
        </w:r>
      </w:hyperlink>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 xml:space="preserve">M. Montoussé, S. D’Agostino, A. Chaffel, J.-M. Huart, </w:t>
      </w:r>
      <w:r w:rsidRPr="00570190">
        <w:rPr>
          <w:rFonts w:ascii="Times New Roman" w:hAnsi="Times New Roman" w:cs="Times New Roman"/>
          <w:i/>
          <w:iCs/>
          <w:sz w:val="20"/>
          <w:szCs w:val="20"/>
        </w:rPr>
        <w:t>op. cit.</w:t>
      </w:r>
      <w:r w:rsidRPr="00570190">
        <w:rPr>
          <w:rFonts w:ascii="Times New Roman" w:hAnsi="Times New Roman" w:cs="Times New Roman"/>
          <w:iCs/>
          <w:sz w:val="20"/>
          <w:szCs w:val="20"/>
        </w:rPr>
        <w:t>, p. 368.</w:t>
      </w:r>
    </w:p>
  </w:footnote>
  <w:footnote w:id="33">
    <w:p w14:paraId="6C128156" w14:textId="415AE9B6"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M. Rainelli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65.</w:t>
      </w:r>
    </w:p>
  </w:footnote>
  <w:footnote w:id="34">
    <w:p w14:paraId="1CF89F54" w14:textId="77777777" w:rsidR="00C14253" w:rsidRPr="00570190" w:rsidRDefault="00C14253" w:rsidP="00127E1B">
      <w:pPr>
        <w:tabs>
          <w:tab w:val="left" w:pos="2600"/>
        </w:tabs>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mallCaps/>
          <w:sz w:val="20"/>
          <w:szCs w:val="20"/>
        </w:rPr>
        <w:t>I</w:t>
      </w:r>
      <w:r w:rsidRPr="00570190">
        <w:rPr>
          <w:rFonts w:ascii="Times New Roman" w:hAnsi="Times New Roman" w:cs="Times New Roman"/>
          <w:i/>
          <w:sz w:val="20"/>
          <w:szCs w:val="20"/>
        </w:rPr>
        <w:t xml:space="preserve">bid., </w:t>
      </w:r>
      <w:r w:rsidRPr="00570190">
        <w:rPr>
          <w:rFonts w:ascii="Times New Roman" w:hAnsi="Times New Roman" w:cs="Times New Roman"/>
          <w:sz w:val="20"/>
          <w:szCs w:val="20"/>
        </w:rPr>
        <w:t xml:space="preserve">p. 65 ; </w:t>
      </w:r>
      <w:r w:rsidRPr="00570190">
        <w:rPr>
          <w:rFonts w:ascii="Times New Roman" w:hAnsi="Times New Roman" w:cs="Times New Roman"/>
          <w:smallCaps/>
          <w:sz w:val="20"/>
          <w:szCs w:val="20"/>
        </w:rPr>
        <w:t>S. D’Agostino</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Libre-échange et protectionnisme</w:t>
      </w:r>
      <w:r w:rsidRPr="00570190">
        <w:rPr>
          <w:rFonts w:ascii="Times New Roman" w:hAnsi="Times New Roman" w:cs="Times New Roman"/>
          <w:sz w:val="20"/>
          <w:szCs w:val="20"/>
        </w:rPr>
        <w:t>, Thèmes &amp;Débats, Paris, Bréal, 2003, p. 78.</w:t>
      </w:r>
    </w:p>
  </w:footnote>
  <w:footnote w:id="35">
    <w:p w14:paraId="09052054" w14:textId="314FF1BA"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smallCaps/>
          <w:sz w:val="20"/>
          <w:szCs w:val="20"/>
        </w:rPr>
        <w:t>M. Rainelli</w:t>
      </w:r>
      <w:r w:rsidRPr="00570190">
        <w:rPr>
          <w:rFonts w:ascii="Times New Roman" w:hAnsi="Times New Roman" w:cs="Times New Roman"/>
          <w:sz w:val="20"/>
          <w:szCs w:val="20"/>
        </w:rPr>
        <w:t>,</w:t>
      </w:r>
      <w:r w:rsidRPr="00570190">
        <w:rPr>
          <w:rFonts w:ascii="Times New Roman" w:hAnsi="Times New Roman" w:cs="Times New Roman"/>
          <w:i/>
          <w:sz w:val="20"/>
          <w:szCs w:val="20"/>
        </w:rPr>
        <w:t xml:space="preserve"> op. cit., </w:t>
      </w:r>
      <w:r w:rsidRPr="00570190">
        <w:rPr>
          <w:rFonts w:ascii="Times New Roman" w:hAnsi="Times New Roman" w:cs="Times New Roman"/>
          <w:sz w:val="20"/>
          <w:szCs w:val="20"/>
        </w:rPr>
        <w:t>p. 65.</w:t>
      </w:r>
    </w:p>
  </w:footnote>
  <w:footnote w:id="36">
    <w:p w14:paraId="24B5DC95" w14:textId="77777777"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 xml:space="preserve"> </w:t>
      </w:r>
      <w:r w:rsidRPr="00570190">
        <w:rPr>
          <w:rFonts w:ascii="Times New Roman" w:hAnsi="Times New Roman" w:cs="Times New Roman"/>
          <w:i/>
          <w:sz w:val="20"/>
          <w:szCs w:val="20"/>
        </w:rPr>
        <w:t xml:space="preserve">Ibid., </w:t>
      </w:r>
      <w:r w:rsidRPr="00570190">
        <w:rPr>
          <w:rFonts w:ascii="Times New Roman" w:hAnsi="Times New Roman" w:cs="Times New Roman"/>
          <w:sz w:val="20"/>
          <w:szCs w:val="20"/>
        </w:rPr>
        <w:t>p. 65</w:t>
      </w:r>
      <w:r w:rsidRPr="00570190">
        <w:rPr>
          <w:rFonts w:ascii="Times New Roman" w:hAnsi="Times New Roman" w:cs="Times New Roman"/>
          <w:sz w:val="20"/>
          <w:szCs w:val="20"/>
          <w:lang w:val="nl-NL"/>
        </w:rPr>
        <w:t xml:space="preserve">; R. </w:t>
      </w:r>
      <w:r w:rsidRPr="00570190">
        <w:rPr>
          <w:rFonts w:ascii="Times New Roman" w:hAnsi="Times New Roman" w:cs="Times New Roman"/>
          <w:smallCaps/>
          <w:sz w:val="20"/>
          <w:szCs w:val="20"/>
        </w:rPr>
        <w:t xml:space="preserve">Blackhurst, N. Marian, </w:t>
      </w:r>
      <w:r w:rsidRPr="00570190">
        <w:rPr>
          <w:rFonts w:ascii="Times New Roman" w:hAnsi="Times New Roman" w:cs="Times New Roman"/>
          <w:sz w:val="20"/>
          <w:szCs w:val="20"/>
        </w:rPr>
        <w:t xml:space="preserve">J. </w:t>
      </w:r>
      <w:r w:rsidRPr="00570190">
        <w:rPr>
          <w:rFonts w:ascii="Times New Roman" w:hAnsi="Times New Roman" w:cs="Times New Roman"/>
          <w:smallCaps/>
          <w:sz w:val="20"/>
          <w:szCs w:val="20"/>
        </w:rPr>
        <w:t>Tumlir</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Libéralisation des échanges commerciaux, protectionnisme et interdépendance, GATT études sur le commerce international</w:t>
      </w:r>
      <w:r w:rsidRPr="00570190">
        <w:rPr>
          <w:rFonts w:ascii="Times New Roman" w:hAnsi="Times New Roman" w:cs="Times New Roman"/>
          <w:sz w:val="20"/>
          <w:szCs w:val="20"/>
        </w:rPr>
        <w:t>, « Accord général sur les tarifs douaniers et le commerce », Genève, novembre 1977, n°5, p. 14.</w:t>
      </w:r>
    </w:p>
  </w:footnote>
  <w:footnote w:id="37">
    <w:p w14:paraId="6FDBFE18" w14:textId="4224EF63"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M. Rainelli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rPr>
        <w:t xml:space="preserve">p. 65 ; </w:t>
      </w:r>
      <w:r w:rsidRPr="00570190">
        <w:rPr>
          <w:rFonts w:ascii="Times New Roman" w:hAnsi="Times New Roman" w:cs="Times New Roman"/>
          <w:sz w:val="20"/>
          <w:szCs w:val="20"/>
          <w:lang w:val="nl-NL"/>
        </w:rPr>
        <w:t xml:space="preserve">R. </w:t>
      </w:r>
      <w:r w:rsidRPr="00570190">
        <w:rPr>
          <w:rFonts w:ascii="Times New Roman" w:hAnsi="Times New Roman" w:cs="Times New Roman"/>
          <w:smallCaps/>
          <w:sz w:val="20"/>
          <w:szCs w:val="20"/>
        </w:rPr>
        <w:t xml:space="preserve">Blackhurst, N. Marian, </w:t>
      </w:r>
      <w:r w:rsidRPr="00570190">
        <w:rPr>
          <w:rFonts w:ascii="Times New Roman" w:hAnsi="Times New Roman" w:cs="Times New Roman"/>
          <w:sz w:val="20"/>
          <w:szCs w:val="20"/>
        </w:rPr>
        <w:t xml:space="preserve">J. </w:t>
      </w:r>
      <w:r w:rsidRPr="00570190">
        <w:rPr>
          <w:rFonts w:ascii="Times New Roman" w:hAnsi="Times New Roman" w:cs="Times New Roman"/>
          <w:smallCaps/>
          <w:sz w:val="20"/>
          <w:szCs w:val="20"/>
        </w:rPr>
        <w:t>Tumlir</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 14. </w:t>
      </w:r>
    </w:p>
  </w:footnote>
  <w:footnote w:id="38">
    <w:p w14:paraId="65AFC0DF" w14:textId="4C58370B"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M. Rainelli</w:t>
      </w:r>
      <w:r w:rsidRPr="00570190">
        <w:rPr>
          <w:rFonts w:ascii="Times New Roman" w:hAnsi="Times New Roman" w:cs="Times New Roman"/>
          <w:sz w:val="20"/>
          <w:szCs w:val="20"/>
        </w:rPr>
        <w:t>,</w:t>
      </w:r>
      <w:r w:rsidRPr="00570190">
        <w:rPr>
          <w:rFonts w:ascii="Times New Roman" w:hAnsi="Times New Roman" w:cs="Times New Roman"/>
          <w:i/>
          <w:sz w:val="20"/>
          <w:szCs w:val="20"/>
        </w:rPr>
        <w:t xml:space="preserve">, op. cit., </w:t>
      </w:r>
      <w:r w:rsidRPr="00570190">
        <w:rPr>
          <w:rFonts w:ascii="Times New Roman" w:hAnsi="Times New Roman" w:cs="Times New Roman"/>
          <w:sz w:val="20"/>
          <w:szCs w:val="20"/>
        </w:rPr>
        <w:t>p. 65</w:t>
      </w:r>
      <w:r w:rsidRPr="00570190">
        <w:rPr>
          <w:rFonts w:ascii="Times New Roman" w:hAnsi="Times New Roman" w:cs="Times New Roman"/>
          <w:sz w:val="20"/>
          <w:szCs w:val="20"/>
          <w:lang w:val="nl-NL"/>
        </w:rPr>
        <w:t xml:space="preserve">; R. </w:t>
      </w:r>
      <w:r w:rsidRPr="00570190">
        <w:rPr>
          <w:rFonts w:ascii="Times New Roman" w:hAnsi="Times New Roman" w:cs="Times New Roman"/>
          <w:smallCaps/>
          <w:sz w:val="20"/>
          <w:szCs w:val="20"/>
        </w:rPr>
        <w:t xml:space="preserve">Blackhurst, N. Marian, </w:t>
      </w:r>
      <w:r w:rsidRPr="00570190">
        <w:rPr>
          <w:rFonts w:ascii="Times New Roman" w:hAnsi="Times New Roman" w:cs="Times New Roman"/>
          <w:sz w:val="20"/>
          <w:szCs w:val="20"/>
        </w:rPr>
        <w:t xml:space="preserve">J. </w:t>
      </w:r>
      <w:r w:rsidRPr="00570190">
        <w:rPr>
          <w:rFonts w:ascii="Times New Roman" w:hAnsi="Times New Roman" w:cs="Times New Roman"/>
          <w:smallCaps/>
          <w:sz w:val="20"/>
          <w:szCs w:val="20"/>
        </w:rPr>
        <w:t>Tumlir</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 14. </w:t>
      </w:r>
    </w:p>
  </w:footnote>
  <w:footnote w:id="39">
    <w:p w14:paraId="364CB1C2" w14:textId="7B004F88" w:rsidR="00C14253" w:rsidRPr="00570190" w:rsidRDefault="00C14253" w:rsidP="00127E1B">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B. Guillochon</w:t>
      </w:r>
      <w:r w:rsidRPr="00570190">
        <w:rPr>
          <w:rFonts w:ascii="Times New Roman" w:hAnsi="Times New Roman" w:cs="Times New Roman"/>
          <w:sz w:val="20"/>
          <w:szCs w:val="20"/>
        </w:rPr>
        <w:t>,</w:t>
      </w:r>
      <w:r w:rsidRPr="00570190">
        <w:rPr>
          <w:rFonts w:ascii="Times New Roman" w:hAnsi="Times New Roman" w:cs="Times New Roman"/>
          <w:i/>
          <w:sz w:val="20"/>
          <w:szCs w:val="20"/>
        </w:rPr>
        <w:t xml:space="preserve"> op. cit.</w:t>
      </w:r>
      <w:r w:rsidRPr="00570190">
        <w:rPr>
          <w:rFonts w:ascii="Times New Roman" w:hAnsi="Times New Roman" w:cs="Times New Roman"/>
          <w:sz w:val="20"/>
          <w:szCs w:val="20"/>
        </w:rPr>
        <w:t xml:space="preserve">, p. 5 ; </w:t>
      </w:r>
      <w:r w:rsidRPr="00570190">
        <w:rPr>
          <w:rFonts w:ascii="Times New Roman" w:hAnsi="Times New Roman" w:cs="Times New Roman"/>
          <w:smallCaps/>
          <w:sz w:val="20"/>
          <w:szCs w:val="20"/>
        </w:rPr>
        <w:t>J. Bhagwati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1.</w:t>
      </w:r>
    </w:p>
  </w:footnote>
  <w:footnote w:id="40">
    <w:p w14:paraId="374C28AF" w14:textId="6F446C26" w:rsidR="00C14253" w:rsidRPr="00570190" w:rsidRDefault="00C14253" w:rsidP="00F1114B">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J. Bhagwati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 1 </w:t>
      </w:r>
      <w:r w:rsidRPr="00570190">
        <w:rPr>
          <w:rFonts w:ascii="Times New Roman" w:hAnsi="Times New Roman" w:cs="Times New Roman"/>
          <w:sz w:val="20"/>
          <w:szCs w:val="20"/>
          <w:lang w:val="nl-NL"/>
        </w:rPr>
        <w:t xml:space="preserve">; P. </w:t>
      </w:r>
      <w:r w:rsidRPr="00570190">
        <w:rPr>
          <w:rFonts w:ascii="Times New Roman" w:hAnsi="Times New Roman" w:cs="Times New Roman"/>
          <w:smallCaps/>
          <w:sz w:val="20"/>
          <w:szCs w:val="20"/>
        </w:rPr>
        <w:t>Ruttley</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7.</w:t>
      </w:r>
    </w:p>
  </w:footnote>
  <w:footnote w:id="41">
    <w:p w14:paraId="7FC186CE" w14:textId="310123A9" w:rsidR="00C14253" w:rsidRPr="00570190" w:rsidRDefault="00C14253" w:rsidP="00127E1B">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J. Bhagwati</w:t>
      </w:r>
      <w:r w:rsidRPr="00570190">
        <w:rPr>
          <w:rFonts w:ascii="Times New Roman" w:hAnsi="Times New Roman" w:cs="Times New Roman"/>
          <w:sz w:val="20"/>
          <w:szCs w:val="20"/>
        </w:rPr>
        <w:t>,</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p. 3.</w:t>
      </w:r>
    </w:p>
  </w:footnote>
  <w:footnote w:id="42">
    <w:p w14:paraId="3E5D86BF" w14:textId="77777777" w:rsidR="00C14253" w:rsidRPr="00570190" w:rsidRDefault="00C14253" w:rsidP="00127E1B">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pp. 3 à 8.</w:t>
      </w:r>
    </w:p>
  </w:footnote>
  <w:footnote w:id="43">
    <w:p w14:paraId="2507153F" w14:textId="77777777" w:rsidR="00C14253" w:rsidRPr="00570190" w:rsidRDefault="00C14253" w:rsidP="00127E1B">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xml:space="preserve">, pp. 13 et 14 ; P. </w:t>
      </w:r>
      <w:r w:rsidRPr="00570190">
        <w:rPr>
          <w:rFonts w:ascii="Times New Roman" w:hAnsi="Times New Roman" w:cs="Times New Roman"/>
          <w:smallCaps/>
          <w:sz w:val="20"/>
          <w:szCs w:val="20"/>
        </w:rPr>
        <w:t xml:space="preserve">Ruttley, </w:t>
      </w:r>
      <w:r w:rsidRPr="00570190">
        <w:rPr>
          <w:rFonts w:ascii="Times New Roman" w:hAnsi="Times New Roman" w:cs="Times New Roman"/>
          <w:i/>
          <w:sz w:val="20"/>
          <w:szCs w:val="20"/>
        </w:rPr>
        <w:t>op. cit.</w:t>
      </w:r>
      <w:r w:rsidRPr="00570190">
        <w:rPr>
          <w:rFonts w:ascii="Times New Roman" w:hAnsi="Times New Roman" w:cs="Times New Roman"/>
          <w:sz w:val="20"/>
          <w:szCs w:val="20"/>
        </w:rPr>
        <w:t>, p. 8.</w:t>
      </w:r>
    </w:p>
  </w:footnote>
  <w:footnote w:id="44">
    <w:p w14:paraId="1BC6CCC8" w14:textId="3EFA82A2" w:rsidR="00C14253" w:rsidRPr="00570190" w:rsidRDefault="00C14253" w:rsidP="00127E1B">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 xml:space="preserve"> J. Bhagwati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xml:space="preserve"> p. 14; M. </w:t>
      </w:r>
      <w:r w:rsidRPr="00570190">
        <w:rPr>
          <w:rFonts w:ascii="Times New Roman" w:hAnsi="Times New Roman" w:cs="Times New Roman"/>
          <w:smallCaps/>
          <w:sz w:val="20"/>
          <w:szCs w:val="20"/>
        </w:rPr>
        <w:t>Rainelli</w:t>
      </w:r>
      <w:r w:rsidRPr="00570190">
        <w:rPr>
          <w:rFonts w:ascii="Times New Roman" w:hAnsi="Times New Roman" w:cs="Times New Roman"/>
          <w:sz w:val="20"/>
          <w:szCs w:val="20"/>
        </w:rPr>
        <w:t>, p. 43.</w:t>
      </w:r>
    </w:p>
  </w:footnote>
  <w:footnote w:id="45">
    <w:p w14:paraId="34AAE5A8" w14:textId="3B1C1265" w:rsidR="00C14253" w:rsidRPr="00570190" w:rsidRDefault="00C14253" w:rsidP="00127E1B">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J. </w:t>
      </w:r>
      <w:r w:rsidRPr="00570190">
        <w:rPr>
          <w:rFonts w:ascii="Times New Roman" w:hAnsi="Times New Roman" w:cs="Times New Roman"/>
          <w:smallCaps/>
          <w:sz w:val="20"/>
          <w:szCs w:val="20"/>
        </w:rPr>
        <w:t>Bhagwati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 xml:space="preserve">op. cit., </w:t>
      </w:r>
      <w:r w:rsidRPr="00570190">
        <w:rPr>
          <w:rFonts w:ascii="Times New Roman" w:hAnsi="Times New Roman" w:cs="Times New Roman"/>
          <w:sz w:val="20"/>
          <w:szCs w:val="20"/>
          <w:lang w:val="nl-NL"/>
        </w:rPr>
        <w:t xml:space="preserve">p. 15; M. </w:t>
      </w:r>
      <w:r w:rsidRPr="00570190">
        <w:rPr>
          <w:rFonts w:ascii="Times New Roman" w:hAnsi="Times New Roman" w:cs="Times New Roman"/>
          <w:smallCaps/>
          <w:sz w:val="20"/>
          <w:szCs w:val="20"/>
        </w:rPr>
        <w:t>Rainelli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rPr>
        <w:t>pp. 43-44.</w:t>
      </w:r>
    </w:p>
  </w:footnote>
  <w:footnote w:id="46">
    <w:p w14:paraId="415C6823" w14:textId="2709EA7B" w:rsidR="00C14253" w:rsidRPr="00570190" w:rsidRDefault="00C14253" w:rsidP="003E4F47">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 xml:space="preserve">P. Ruttley, </w:t>
      </w:r>
      <w:r w:rsidRPr="00570190">
        <w:rPr>
          <w:rFonts w:ascii="Times New Roman" w:hAnsi="Times New Roman" w:cs="Times New Roman"/>
          <w:i/>
          <w:iCs/>
          <w:sz w:val="20"/>
          <w:szCs w:val="20"/>
        </w:rPr>
        <w:t>op. cit.</w:t>
      </w:r>
      <w:r w:rsidRPr="00570190">
        <w:rPr>
          <w:rFonts w:ascii="Times New Roman" w:hAnsi="Times New Roman" w:cs="Times New Roman"/>
          <w:sz w:val="20"/>
          <w:szCs w:val="20"/>
        </w:rPr>
        <w:t xml:space="preserve">, p. 44 ; </w:t>
      </w:r>
      <w:r w:rsidRPr="00570190">
        <w:rPr>
          <w:rFonts w:ascii="Times New Roman" w:hAnsi="Times New Roman" w:cs="Times New Roman"/>
          <w:smallCaps/>
          <w:sz w:val="20"/>
          <w:szCs w:val="20"/>
        </w:rPr>
        <w:t>D. Salvatore,</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Protectionnism and world welfare</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1993, p. 46.</w:t>
      </w:r>
    </w:p>
  </w:footnote>
  <w:footnote w:id="47">
    <w:p w14:paraId="7969C27D" w14:textId="2E9A5875" w:rsidR="00C14253" w:rsidRPr="00570190" w:rsidRDefault="00C14253" w:rsidP="00127E1B">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B. </w:t>
      </w:r>
      <w:r w:rsidRPr="00570190">
        <w:rPr>
          <w:rFonts w:ascii="Times New Roman" w:hAnsi="Times New Roman" w:cs="Times New Roman"/>
          <w:smallCaps/>
          <w:sz w:val="20"/>
          <w:szCs w:val="20"/>
        </w:rPr>
        <w:t xml:space="preserve">Guillochon, </w:t>
      </w:r>
      <w:r w:rsidRPr="00570190">
        <w:rPr>
          <w:rFonts w:ascii="Times New Roman" w:hAnsi="Times New Roman" w:cs="Times New Roman"/>
          <w:i/>
          <w:sz w:val="20"/>
          <w:szCs w:val="20"/>
        </w:rPr>
        <w:t>op. cit.</w:t>
      </w:r>
      <w:r w:rsidRPr="00570190">
        <w:rPr>
          <w:rFonts w:ascii="Times New Roman" w:hAnsi="Times New Roman" w:cs="Times New Roman"/>
          <w:sz w:val="20"/>
          <w:szCs w:val="20"/>
        </w:rPr>
        <w:t>, p. 51.</w:t>
      </w:r>
    </w:p>
  </w:footnote>
  <w:footnote w:id="48">
    <w:p w14:paraId="69572427" w14:textId="77777777" w:rsidR="00C14253" w:rsidRPr="00570190" w:rsidRDefault="00C14253" w:rsidP="00127E1B">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p. 51.</w:t>
      </w:r>
    </w:p>
  </w:footnote>
  <w:footnote w:id="49">
    <w:p w14:paraId="7A558042" w14:textId="77777777" w:rsidR="00C14253" w:rsidRPr="00570190" w:rsidRDefault="00C14253" w:rsidP="006A3458">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 xml:space="preserve"> S. Rashid,</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The Myth of Adam Smith</w:t>
      </w:r>
      <w:r w:rsidRPr="00570190">
        <w:rPr>
          <w:rFonts w:ascii="Times New Roman" w:hAnsi="Times New Roman" w:cs="Times New Roman"/>
          <w:sz w:val="20"/>
          <w:szCs w:val="20"/>
        </w:rPr>
        <w:t>, London, Elgar, 1998</w:t>
      </w:r>
      <w:r w:rsidRPr="00570190">
        <w:rPr>
          <w:rFonts w:ascii="Times New Roman" w:hAnsi="Times New Roman" w:cs="Times New Roman"/>
          <w:sz w:val="20"/>
          <w:szCs w:val="20"/>
          <w:lang w:val="nl-NL"/>
        </w:rPr>
        <w:t xml:space="preserve">, p. 4 ; </w:t>
      </w:r>
      <w:r w:rsidRPr="00570190">
        <w:rPr>
          <w:rFonts w:ascii="Times New Roman" w:hAnsi="Times New Roman" w:cs="Times New Roman"/>
          <w:sz w:val="20"/>
          <w:szCs w:val="20"/>
        </w:rPr>
        <w:t xml:space="preserve">S. </w:t>
      </w:r>
      <w:r w:rsidRPr="00570190">
        <w:rPr>
          <w:rFonts w:ascii="Times New Roman" w:hAnsi="Times New Roman" w:cs="Times New Roman"/>
          <w:smallCaps/>
          <w:sz w:val="20"/>
          <w:szCs w:val="20"/>
        </w:rPr>
        <w:t>D’Agostino</w:t>
      </w:r>
      <w:r w:rsidRPr="00570190">
        <w:rPr>
          <w:rFonts w:ascii="Times New Roman" w:hAnsi="Times New Roman" w:cs="Times New Roman"/>
          <w:sz w:val="20"/>
          <w:szCs w:val="20"/>
        </w:rPr>
        <w:t xml:space="preserve">, P. </w:t>
      </w:r>
      <w:r w:rsidRPr="00570190">
        <w:rPr>
          <w:rFonts w:ascii="Times New Roman" w:hAnsi="Times New Roman" w:cs="Times New Roman"/>
          <w:smallCaps/>
          <w:sz w:val="20"/>
          <w:szCs w:val="20"/>
        </w:rPr>
        <w:t>Deubel, M. Mantoussé, G. Renouard</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rPr>
        <w:t>p. 459.</w:t>
      </w:r>
    </w:p>
  </w:footnote>
  <w:footnote w:id="50">
    <w:p w14:paraId="3D265737" w14:textId="77777777" w:rsidR="00C14253" w:rsidRPr="00570190" w:rsidRDefault="00C14253" w:rsidP="006A3458">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J. Bhagwati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Protectionnisme</w:t>
      </w:r>
      <w:r w:rsidRPr="00570190">
        <w:rPr>
          <w:rFonts w:ascii="Times New Roman" w:hAnsi="Times New Roman" w:cs="Times New Roman"/>
          <w:sz w:val="20"/>
          <w:szCs w:val="20"/>
        </w:rPr>
        <w:t>, Paris, Bordas, 1990</w:t>
      </w:r>
      <w:r w:rsidRPr="00570190">
        <w:rPr>
          <w:rFonts w:ascii="Times New Roman" w:hAnsi="Times New Roman" w:cs="Times New Roman"/>
          <w:sz w:val="20"/>
          <w:szCs w:val="20"/>
          <w:lang w:val="nl-NL"/>
        </w:rPr>
        <w:t>, p. 24.</w:t>
      </w:r>
    </w:p>
  </w:footnote>
  <w:footnote w:id="51">
    <w:p w14:paraId="02ECC0E9" w14:textId="77777777" w:rsidR="00C14253" w:rsidRPr="00570190" w:rsidRDefault="00C14253" w:rsidP="006A3458">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S. Rashid,</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xml:space="preserve">, pp. 4 et 5; A. </w:t>
      </w:r>
      <w:r w:rsidRPr="00570190">
        <w:rPr>
          <w:rFonts w:ascii="Times New Roman" w:hAnsi="Times New Roman" w:cs="Times New Roman"/>
          <w:smallCaps/>
          <w:sz w:val="20"/>
          <w:szCs w:val="20"/>
        </w:rPr>
        <w:t>Sinha,</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Theories of values from Adam Smith to Piero Sraffa</w:t>
      </w:r>
      <w:r w:rsidRPr="00570190">
        <w:rPr>
          <w:rFonts w:ascii="Times New Roman" w:hAnsi="Times New Roman" w:cs="Times New Roman"/>
          <w:sz w:val="20"/>
          <w:szCs w:val="20"/>
        </w:rPr>
        <w:t xml:space="preserve">, London, Routledge, 2010, p. 128. </w:t>
      </w:r>
    </w:p>
  </w:footnote>
  <w:footnote w:id="52">
    <w:p w14:paraId="6F6DDA4D" w14:textId="3E9C0BEB"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B. </w:t>
      </w:r>
      <w:r w:rsidRPr="00570190">
        <w:rPr>
          <w:rFonts w:ascii="Times New Roman" w:hAnsi="Times New Roman" w:cs="Times New Roman"/>
          <w:smallCaps/>
          <w:sz w:val="20"/>
          <w:szCs w:val="20"/>
        </w:rPr>
        <w:t>Guillochon</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Economie internationale</w:t>
      </w:r>
      <w:r w:rsidRPr="00570190">
        <w:rPr>
          <w:rFonts w:ascii="Times New Roman" w:hAnsi="Times New Roman" w:cs="Times New Roman"/>
          <w:sz w:val="20"/>
          <w:szCs w:val="20"/>
        </w:rPr>
        <w:t>, Paris, Dunod, 1994, p. 28.</w:t>
      </w:r>
    </w:p>
  </w:footnote>
  <w:footnote w:id="53">
    <w:p w14:paraId="645CACE3" w14:textId="77777777"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G. </w:t>
      </w:r>
      <w:r w:rsidRPr="00570190">
        <w:rPr>
          <w:rFonts w:ascii="Times New Roman" w:hAnsi="Times New Roman" w:cs="Times New Roman"/>
          <w:smallCaps/>
          <w:sz w:val="20"/>
          <w:szCs w:val="20"/>
        </w:rPr>
        <w:t>Vivenza</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Adam Smith and the classics : the classical heritage in Adam Smith’s thought</w:t>
      </w:r>
      <w:r w:rsidRPr="00570190">
        <w:rPr>
          <w:rFonts w:ascii="Times New Roman" w:hAnsi="Times New Roman" w:cs="Times New Roman"/>
          <w:sz w:val="20"/>
          <w:szCs w:val="20"/>
        </w:rPr>
        <w:t>, Oxford, Oxford University press, 2001, p. 54.</w:t>
      </w:r>
    </w:p>
  </w:footnote>
  <w:footnote w:id="54">
    <w:p w14:paraId="5261767A" w14:textId="5A767450" w:rsidR="00C14253" w:rsidRPr="00570190" w:rsidRDefault="00C14253" w:rsidP="00127E1B">
      <w:pPr>
        <w:pStyle w:val="Notedebasdepage"/>
        <w:rPr>
          <w:rFonts w:ascii="Times New Roman" w:hAnsi="Times New Roman" w:cs="Times New Roman"/>
          <w:i/>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G. </w:t>
      </w:r>
      <w:r w:rsidRPr="00570190">
        <w:rPr>
          <w:rFonts w:ascii="Times New Roman" w:hAnsi="Times New Roman" w:cs="Times New Roman"/>
          <w:smallCaps/>
          <w:sz w:val="20"/>
          <w:szCs w:val="20"/>
        </w:rPr>
        <w:t xml:space="preserve">Vivenza,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xml:space="preserve">, pp. 54 et 55. </w:t>
      </w:r>
    </w:p>
  </w:footnote>
  <w:footnote w:id="55">
    <w:p w14:paraId="000B0363" w14:textId="68C7A607" w:rsidR="00C14253" w:rsidRPr="00570190" w:rsidRDefault="00C14253" w:rsidP="009848D8">
      <w:pPr>
        <w:tabs>
          <w:tab w:val="left" w:pos="2600"/>
        </w:tabs>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D. </w:t>
      </w:r>
      <w:r w:rsidRPr="00570190">
        <w:rPr>
          <w:rFonts w:ascii="Times New Roman" w:hAnsi="Times New Roman" w:cs="Times New Roman"/>
          <w:smallCaps/>
          <w:sz w:val="20"/>
          <w:szCs w:val="20"/>
        </w:rPr>
        <w:t>Reisman</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Adam Smith’s Sociological Economics</w:t>
      </w:r>
      <w:r w:rsidRPr="00570190">
        <w:rPr>
          <w:rFonts w:ascii="Times New Roman" w:hAnsi="Times New Roman" w:cs="Times New Roman"/>
          <w:sz w:val="20"/>
          <w:szCs w:val="20"/>
        </w:rPr>
        <w:t>, Croom Helm, London, 1976, p. 28.</w:t>
      </w:r>
    </w:p>
  </w:footnote>
  <w:footnote w:id="56">
    <w:p w14:paraId="418D9101" w14:textId="52FF4964"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 xml:space="preserve"> </w:t>
      </w:r>
      <w:r w:rsidRPr="00570190">
        <w:rPr>
          <w:rFonts w:ascii="Times New Roman" w:hAnsi="Times New Roman" w:cs="Times New Roman"/>
          <w:smallCaps/>
          <w:color w:val="1C1C1C"/>
          <w:sz w:val="20"/>
          <w:szCs w:val="20"/>
        </w:rPr>
        <w:t>A. Smith</w:t>
      </w:r>
      <w:r w:rsidRPr="00570190">
        <w:rPr>
          <w:rFonts w:ascii="Times New Roman" w:hAnsi="Times New Roman" w:cs="Times New Roman"/>
          <w:color w:val="1C1C1C"/>
          <w:sz w:val="20"/>
          <w:szCs w:val="20"/>
        </w:rPr>
        <w:t xml:space="preserve">, </w:t>
      </w:r>
      <w:r w:rsidRPr="00570190">
        <w:rPr>
          <w:rFonts w:ascii="Times New Roman" w:hAnsi="Times New Roman" w:cs="Times New Roman"/>
          <w:i/>
          <w:color w:val="1C1C1C"/>
          <w:sz w:val="20"/>
          <w:szCs w:val="20"/>
        </w:rPr>
        <w:t>Recherche sur la nature et la cause de la richesse des nations</w:t>
      </w:r>
      <w:r w:rsidRPr="00570190">
        <w:rPr>
          <w:rFonts w:ascii="Times New Roman" w:hAnsi="Times New Roman" w:cs="Times New Roman"/>
          <w:color w:val="1C1C1C"/>
          <w:sz w:val="20"/>
          <w:szCs w:val="20"/>
        </w:rPr>
        <w:t>, Livre IV, ch. 2, 1776 ; d'après réédition, Flammarion, 1991, tome II p. 42 et 43.</w:t>
      </w:r>
    </w:p>
  </w:footnote>
  <w:footnote w:id="57">
    <w:p w14:paraId="6F00BB5D" w14:textId="29E61E5C"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Ibid., </w:t>
      </w:r>
      <w:r w:rsidRPr="00570190">
        <w:rPr>
          <w:rFonts w:ascii="Times New Roman" w:hAnsi="Times New Roman" w:cs="Times New Roman"/>
          <w:sz w:val="20"/>
          <w:szCs w:val="20"/>
        </w:rPr>
        <w:t>p. 42 et 43</w:t>
      </w:r>
    </w:p>
  </w:footnote>
  <w:footnote w:id="58">
    <w:p w14:paraId="0A20CAC3" w14:textId="0FC76F2F"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Ibid., </w:t>
      </w:r>
      <w:r w:rsidRPr="00570190">
        <w:rPr>
          <w:rFonts w:ascii="Times New Roman" w:hAnsi="Times New Roman" w:cs="Times New Roman"/>
          <w:sz w:val="20"/>
          <w:szCs w:val="20"/>
        </w:rPr>
        <w:t>p. 42 et 43</w:t>
      </w:r>
    </w:p>
  </w:footnote>
  <w:footnote w:id="59">
    <w:p w14:paraId="270F4494" w14:textId="29DBF07D" w:rsidR="00C14253" w:rsidRPr="00570190" w:rsidRDefault="00C14253" w:rsidP="00C35350">
      <w:pPr>
        <w:rPr>
          <w:rFonts w:ascii="Times New Roman" w:hAnsi="Times New Roman" w:cs="Times New Roman"/>
          <w:color w:val="1C1C1C"/>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color w:val="1C1C1C"/>
          <w:sz w:val="20"/>
          <w:szCs w:val="20"/>
        </w:rPr>
        <w:t>A. Smith</w:t>
      </w:r>
      <w:r w:rsidRPr="00570190">
        <w:rPr>
          <w:rFonts w:ascii="Times New Roman" w:hAnsi="Times New Roman" w:cs="Times New Roman"/>
          <w:color w:val="1C1C1C"/>
          <w:sz w:val="20"/>
          <w:szCs w:val="20"/>
        </w:rPr>
        <w:t xml:space="preserve">, </w:t>
      </w:r>
      <w:r w:rsidRPr="00570190">
        <w:rPr>
          <w:rFonts w:ascii="Times New Roman" w:hAnsi="Times New Roman" w:cs="Times New Roman"/>
          <w:i/>
          <w:color w:val="1C1C1C"/>
          <w:sz w:val="20"/>
          <w:szCs w:val="20"/>
        </w:rPr>
        <w:t>Recherche sur la nature et la cause de la richesse des nations</w:t>
      </w:r>
      <w:r w:rsidRPr="00570190">
        <w:rPr>
          <w:rFonts w:ascii="Times New Roman" w:hAnsi="Times New Roman" w:cs="Times New Roman"/>
          <w:color w:val="1C1C1C"/>
          <w:sz w:val="20"/>
          <w:szCs w:val="20"/>
        </w:rPr>
        <w:t xml:space="preserve">, </w:t>
      </w:r>
      <w:r w:rsidRPr="00570190">
        <w:rPr>
          <w:rFonts w:ascii="Times New Roman" w:hAnsi="Times New Roman" w:cs="Times New Roman"/>
          <w:i/>
          <w:color w:val="1C1C1C"/>
          <w:sz w:val="20"/>
          <w:szCs w:val="20"/>
        </w:rPr>
        <w:t xml:space="preserve">op. cit., </w:t>
      </w:r>
      <w:r w:rsidRPr="00570190">
        <w:rPr>
          <w:rFonts w:ascii="Times New Roman" w:hAnsi="Times New Roman" w:cs="Times New Roman"/>
          <w:color w:val="1C1C1C"/>
          <w:sz w:val="20"/>
          <w:szCs w:val="20"/>
        </w:rPr>
        <w:t>p. 43.</w:t>
      </w:r>
    </w:p>
  </w:footnote>
  <w:footnote w:id="60">
    <w:p w14:paraId="0FC69BEA" w14:textId="31E11E30" w:rsidR="00C14253" w:rsidRPr="00570190" w:rsidRDefault="00C14253" w:rsidP="00127E1B">
      <w:pPr>
        <w:pStyle w:val="Notedebasdepage"/>
        <w:rPr>
          <w:rFonts w:ascii="Times New Roman" w:hAnsi="Times New Roman" w:cs="Times New Roman"/>
          <w:sz w:val="20"/>
          <w:szCs w:val="20"/>
          <w:highlight w:val="lightGray"/>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J. Bhagwati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31.</w:t>
      </w:r>
    </w:p>
  </w:footnote>
  <w:footnote w:id="61">
    <w:p w14:paraId="16510C1D" w14:textId="13FD0585"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color w:val="1C1C1C"/>
          <w:sz w:val="20"/>
          <w:szCs w:val="20"/>
        </w:rPr>
        <w:t>A. Smith</w:t>
      </w:r>
      <w:r w:rsidRPr="00570190">
        <w:rPr>
          <w:rFonts w:ascii="Times New Roman" w:hAnsi="Times New Roman" w:cs="Times New Roman"/>
          <w:color w:val="1C1C1C"/>
          <w:sz w:val="20"/>
          <w:szCs w:val="20"/>
        </w:rPr>
        <w:t xml:space="preserve">, </w:t>
      </w:r>
      <w:r w:rsidRPr="00570190">
        <w:rPr>
          <w:rFonts w:ascii="Times New Roman" w:hAnsi="Times New Roman" w:cs="Times New Roman"/>
          <w:i/>
          <w:color w:val="1C1C1C"/>
          <w:sz w:val="20"/>
          <w:szCs w:val="20"/>
        </w:rPr>
        <w:t>Recherche sur la nature et la cause de la richesse des nations</w:t>
      </w:r>
      <w:r w:rsidRPr="00570190">
        <w:rPr>
          <w:rFonts w:ascii="Times New Roman" w:hAnsi="Times New Roman" w:cs="Times New Roman"/>
          <w:color w:val="1C1C1C"/>
          <w:sz w:val="20"/>
          <w:szCs w:val="20"/>
        </w:rPr>
        <w:t xml:space="preserve">, </w:t>
      </w:r>
      <w:r w:rsidRPr="00570190">
        <w:rPr>
          <w:rFonts w:ascii="Times New Roman" w:hAnsi="Times New Roman" w:cs="Times New Roman"/>
          <w:i/>
          <w:color w:val="1C1C1C"/>
          <w:sz w:val="20"/>
          <w:szCs w:val="20"/>
        </w:rPr>
        <w:t xml:space="preserve">op. cit., </w:t>
      </w:r>
      <w:r w:rsidRPr="00570190">
        <w:rPr>
          <w:rFonts w:ascii="Times New Roman" w:hAnsi="Times New Roman" w:cs="Times New Roman"/>
          <w:color w:val="1C1C1C"/>
          <w:sz w:val="20"/>
          <w:szCs w:val="20"/>
        </w:rPr>
        <w:t>p. 45.</w:t>
      </w:r>
    </w:p>
  </w:footnote>
  <w:footnote w:id="62">
    <w:p w14:paraId="71A4E809" w14:textId="0700AA87"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p. 45.</w:t>
      </w:r>
    </w:p>
  </w:footnote>
  <w:footnote w:id="63">
    <w:p w14:paraId="3AAB50D3" w14:textId="16CC7501" w:rsidR="00C14253" w:rsidRPr="00570190" w:rsidRDefault="00C14253" w:rsidP="00290FFF">
      <w:pPr>
        <w:rPr>
          <w:rFonts w:ascii="Times New Roman" w:hAnsi="Times New Roman" w:cs="Times New Roman"/>
          <w:color w:val="1C1C1C"/>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D. </w:t>
      </w:r>
      <w:r w:rsidRPr="00570190">
        <w:rPr>
          <w:rFonts w:ascii="Times New Roman" w:hAnsi="Times New Roman" w:cs="Times New Roman"/>
          <w:smallCaps/>
          <w:sz w:val="20"/>
          <w:szCs w:val="20"/>
        </w:rPr>
        <w:t>Reisman</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 30 ; </w:t>
      </w:r>
      <w:r w:rsidRPr="00570190">
        <w:rPr>
          <w:rFonts w:ascii="Times New Roman" w:hAnsi="Times New Roman" w:cs="Times New Roman"/>
          <w:smallCaps/>
          <w:color w:val="1C1C1C"/>
          <w:sz w:val="20"/>
          <w:szCs w:val="20"/>
        </w:rPr>
        <w:t>A. Smith</w:t>
      </w:r>
      <w:r w:rsidRPr="00570190">
        <w:rPr>
          <w:rFonts w:ascii="Times New Roman" w:hAnsi="Times New Roman" w:cs="Times New Roman"/>
          <w:color w:val="1C1C1C"/>
          <w:sz w:val="20"/>
          <w:szCs w:val="20"/>
        </w:rPr>
        <w:t xml:space="preserve">, </w:t>
      </w:r>
      <w:r w:rsidRPr="00570190">
        <w:rPr>
          <w:rFonts w:ascii="Times New Roman" w:hAnsi="Times New Roman" w:cs="Times New Roman"/>
          <w:i/>
          <w:color w:val="1C1C1C"/>
          <w:sz w:val="20"/>
          <w:szCs w:val="20"/>
        </w:rPr>
        <w:t>Recherche sur la nature et la cause de la richesse des nations</w:t>
      </w:r>
      <w:r w:rsidRPr="00570190">
        <w:rPr>
          <w:rFonts w:ascii="Times New Roman" w:hAnsi="Times New Roman" w:cs="Times New Roman"/>
          <w:color w:val="1C1C1C"/>
          <w:sz w:val="20"/>
          <w:szCs w:val="20"/>
        </w:rPr>
        <w:t xml:space="preserve">, </w:t>
      </w:r>
      <w:r w:rsidRPr="00570190">
        <w:rPr>
          <w:rFonts w:ascii="Times New Roman" w:hAnsi="Times New Roman" w:cs="Times New Roman"/>
          <w:i/>
          <w:color w:val="1C1C1C"/>
          <w:sz w:val="20"/>
          <w:szCs w:val="20"/>
        </w:rPr>
        <w:t xml:space="preserve">op. cit., </w:t>
      </w:r>
      <w:r w:rsidRPr="00570190">
        <w:rPr>
          <w:rFonts w:ascii="Times New Roman" w:hAnsi="Times New Roman" w:cs="Times New Roman"/>
          <w:color w:val="1C1C1C"/>
          <w:sz w:val="20"/>
          <w:szCs w:val="20"/>
        </w:rPr>
        <w:t>p. 43.</w:t>
      </w:r>
    </w:p>
  </w:footnote>
  <w:footnote w:id="64">
    <w:p w14:paraId="5224A997" w14:textId="712FB2CB"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J. Bhagwati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31.</w:t>
      </w:r>
    </w:p>
  </w:footnote>
  <w:footnote w:id="65">
    <w:p w14:paraId="594877DB" w14:textId="18B75FC8" w:rsidR="00C14253" w:rsidRPr="00570190" w:rsidRDefault="00C14253" w:rsidP="00B1544F">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D. Salvatore,</w:t>
      </w:r>
      <w:r w:rsidRPr="00570190">
        <w:rPr>
          <w:rFonts w:ascii="Times New Roman" w:hAnsi="Times New Roman" w:cs="Times New Roman"/>
          <w:i/>
          <w:sz w:val="20"/>
          <w:szCs w:val="20"/>
        </w:rPr>
        <w:t xml:space="preserve"> Economie internationale, op. cit.</w:t>
      </w:r>
      <w:r w:rsidRPr="00570190">
        <w:rPr>
          <w:rFonts w:ascii="Times New Roman" w:hAnsi="Times New Roman" w:cs="Times New Roman"/>
          <w:sz w:val="20"/>
          <w:szCs w:val="20"/>
          <w:lang w:val="nl-NL"/>
        </w:rPr>
        <w:t>, p. 51.</w:t>
      </w:r>
    </w:p>
  </w:footnote>
  <w:footnote w:id="66">
    <w:p w14:paraId="4C2AF828" w14:textId="4557F0EA" w:rsidR="00C14253" w:rsidRPr="00570190" w:rsidRDefault="00C14253" w:rsidP="009718A3">
      <w:pPr>
        <w:rPr>
          <w:rFonts w:ascii="Times New Roman" w:hAnsi="Times New Roman" w:cs="Times New Roman"/>
          <w:color w:val="1C1C1C"/>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xml:space="preserve">, p. 52 ; </w:t>
      </w:r>
      <w:r w:rsidRPr="00570190">
        <w:rPr>
          <w:rFonts w:ascii="Times New Roman" w:hAnsi="Times New Roman" w:cs="Times New Roman"/>
          <w:smallCaps/>
          <w:color w:val="1C1C1C"/>
          <w:sz w:val="20"/>
          <w:szCs w:val="20"/>
        </w:rPr>
        <w:t>A. Smith</w:t>
      </w:r>
      <w:r w:rsidRPr="00570190">
        <w:rPr>
          <w:rFonts w:ascii="Times New Roman" w:hAnsi="Times New Roman" w:cs="Times New Roman"/>
          <w:color w:val="1C1C1C"/>
          <w:sz w:val="20"/>
          <w:szCs w:val="20"/>
        </w:rPr>
        <w:t xml:space="preserve">, </w:t>
      </w:r>
      <w:r w:rsidRPr="00570190">
        <w:rPr>
          <w:rFonts w:ascii="Times New Roman" w:hAnsi="Times New Roman" w:cs="Times New Roman"/>
          <w:i/>
          <w:color w:val="1C1C1C"/>
          <w:sz w:val="20"/>
          <w:szCs w:val="20"/>
        </w:rPr>
        <w:t>Recherche sur la nature et la cause de la richesse des nations</w:t>
      </w:r>
      <w:r w:rsidRPr="00570190">
        <w:rPr>
          <w:rFonts w:ascii="Times New Roman" w:hAnsi="Times New Roman" w:cs="Times New Roman"/>
          <w:color w:val="1C1C1C"/>
          <w:sz w:val="20"/>
          <w:szCs w:val="20"/>
        </w:rPr>
        <w:t xml:space="preserve">, </w:t>
      </w:r>
      <w:r w:rsidRPr="00570190">
        <w:rPr>
          <w:rFonts w:ascii="Times New Roman" w:hAnsi="Times New Roman" w:cs="Times New Roman"/>
          <w:i/>
          <w:color w:val="1C1C1C"/>
          <w:sz w:val="20"/>
          <w:szCs w:val="20"/>
        </w:rPr>
        <w:t xml:space="preserve">op. cit., </w:t>
      </w:r>
      <w:r w:rsidRPr="00570190">
        <w:rPr>
          <w:rFonts w:ascii="Times New Roman" w:hAnsi="Times New Roman" w:cs="Times New Roman"/>
          <w:color w:val="1C1C1C"/>
          <w:sz w:val="20"/>
          <w:szCs w:val="20"/>
        </w:rPr>
        <w:t>p. 45.</w:t>
      </w:r>
    </w:p>
  </w:footnote>
  <w:footnote w:id="67">
    <w:p w14:paraId="7778BF60" w14:textId="4DEB18F7"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lang w:val="nl-NL"/>
        </w:rPr>
        <w:t xml:space="preserve"> Ibid., </w:t>
      </w:r>
      <w:r w:rsidRPr="00570190">
        <w:rPr>
          <w:rFonts w:ascii="Times New Roman" w:hAnsi="Times New Roman" w:cs="Times New Roman"/>
          <w:sz w:val="20"/>
          <w:szCs w:val="20"/>
          <w:lang w:val="nl-NL"/>
        </w:rPr>
        <w:t>p. 90.</w:t>
      </w:r>
    </w:p>
  </w:footnote>
  <w:footnote w:id="68">
    <w:p w14:paraId="6334E46D" w14:textId="4F298FE0"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lang w:val="nl-NL"/>
        </w:rPr>
        <w:t xml:space="preserve"> Ibid.</w:t>
      </w:r>
      <w:r w:rsidRPr="00570190">
        <w:rPr>
          <w:rFonts w:ascii="Times New Roman" w:hAnsi="Times New Roman" w:cs="Times New Roman"/>
          <w:sz w:val="20"/>
          <w:szCs w:val="20"/>
          <w:lang w:val="nl-NL"/>
        </w:rPr>
        <w:t>,</w:t>
      </w:r>
      <w:r w:rsidRPr="00570190">
        <w:rPr>
          <w:rFonts w:ascii="Times New Roman" w:hAnsi="Times New Roman" w:cs="Times New Roman"/>
          <w:i/>
          <w:color w:val="1C1C1C"/>
          <w:sz w:val="20"/>
          <w:szCs w:val="20"/>
        </w:rPr>
        <w:t xml:space="preserve"> </w:t>
      </w:r>
      <w:r w:rsidRPr="00570190">
        <w:rPr>
          <w:rFonts w:ascii="Times New Roman" w:hAnsi="Times New Roman" w:cs="Times New Roman"/>
          <w:color w:val="1C1C1C"/>
          <w:sz w:val="20"/>
          <w:szCs w:val="20"/>
        </w:rPr>
        <w:t xml:space="preserve">p. 90. </w:t>
      </w:r>
    </w:p>
  </w:footnote>
  <w:footnote w:id="69">
    <w:p w14:paraId="277EEA14" w14:textId="2484B4B4" w:rsidR="00C14253" w:rsidRPr="00570190" w:rsidRDefault="00C14253" w:rsidP="00DB4300">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R. Blackhurst, N. Marian, J. Tumlir,</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Libéralisation des échanges commerciaux, protectionnisme et interdépendance</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p. 29.</w:t>
      </w:r>
    </w:p>
  </w:footnote>
  <w:footnote w:id="70">
    <w:p w14:paraId="4AE6C90C" w14:textId="6C61D04D" w:rsidR="00C14253" w:rsidRPr="00570190" w:rsidRDefault="00C14253" w:rsidP="00DB4300">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 xml:space="preserve"> J. Bhagwati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w:t>
      </w:r>
      <w:r w:rsidRPr="00570190">
        <w:rPr>
          <w:rFonts w:ascii="Times New Roman" w:hAnsi="Times New Roman" w:cs="Times New Roman"/>
          <w:sz w:val="20"/>
          <w:szCs w:val="20"/>
          <w:lang w:val="nl-NL"/>
        </w:rPr>
        <w:t xml:space="preserve"> p. 24.</w:t>
      </w:r>
    </w:p>
  </w:footnote>
  <w:footnote w:id="71">
    <w:p w14:paraId="12BBABA7" w14:textId="2F3993CF" w:rsidR="00C14253" w:rsidRPr="00570190" w:rsidRDefault="00C14253" w:rsidP="0054505C">
      <w:pPr>
        <w:rPr>
          <w:rFonts w:ascii="Times New Roman" w:hAnsi="Times New Roman" w:cs="Times New Roman"/>
          <w:color w:val="1C1C1C"/>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w:t>
      </w:r>
      <w:r w:rsidRPr="00570190">
        <w:rPr>
          <w:rFonts w:ascii="Times New Roman" w:hAnsi="Times New Roman" w:cs="Times New Roman"/>
          <w:i/>
          <w:sz w:val="20"/>
          <w:szCs w:val="20"/>
        </w:rPr>
        <w:t xml:space="preserve"> </w:t>
      </w:r>
      <w:r w:rsidRPr="00570190">
        <w:rPr>
          <w:rFonts w:ascii="Times New Roman" w:hAnsi="Times New Roman" w:cs="Times New Roman"/>
          <w:sz w:val="20"/>
          <w:szCs w:val="20"/>
          <w:lang w:val="nl-NL"/>
        </w:rPr>
        <w:t xml:space="preserve">p. 24 ; </w:t>
      </w:r>
      <w:r w:rsidRPr="00570190">
        <w:rPr>
          <w:rFonts w:ascii="Times New Roman" w:hAnsi="Times New Roman" w:cs="Times New Roman"/>
          <w:smallCaps/>
          <w:color w:val="1C1C1C"/>
          <w:sz w:val="20"/>
          <w:szCs w:val="20"/>
        </w:rPr>
        <w:t xml:space="preserve"> A. Smith</w:t>
      </w:r>
      <w:r w:rsidRPr="00570190">
        <w:rPr>
          <w:rFonts w:ascii="Times New Roman" w:hAnsi="Times New Roman" w:cs="Times New Roman"/>
          <w:color w:val="1C1C1C"/>
          <w:sz w:val="20"/>
          <w:szCs w:val="20"/>
        </w:rPr>
        <w:t xml:space="preserve">, </w:t>
      </w:r>
      <w:r w:rsidRPr="00570190">
        <w:rPr>
          <w:rFonts w:ascii="Times New Roman" w:hAnsi="Times New Roman" w:cs="Times New Roman"/>
          <w:i/>
          <w:color w:val="1C1C1C"/>
          <w:sz w:val="20"/>
          <w:szCs w:val="20"/>
        </w:rPr>
        <w:t>Recherche sur la nature et la cause de la richesse des nations</w:t>
      </w:r>
      <w:r w:rsidRPr="00570190">
        <w:rPr>
          <w:rFonts w:ascii="Times New Roman" w:hAnsi="Times New Roman" w:cs="Times New Roman"/>
          <w:color w:val="1C1C1C"/>
          <w:sz w:val="20"/>
          <w:szCs w:val="20"/>
        </w:rPr>
        <w:t xml:space="preserve">, </w:t>
      </w:r>
      <w:r w:rsidRPr="00570190">
        <w:rPr>
          <w:rFonts w:ascii="Times New Roman" w:hAnsi="Times New Roman" w:cs="Times New Roman"/>
          <w:i/>
          <w:color w:val="1C1C1C"/>
          <w:sz w:val="20"/>
          <w:szCs w:val="20"/>
        </w:rPr>
        <w:t xml:space="preserve">op. cit., </w:t>
      </w:r>
      <w:r w:rsidRPr="00570190">
        <w:rPr>
          <w:rFonts w:ascii="Times New Roman" w:hAnsi="Times New Roman" w:cs="Times New Roman"/>
          <w:color w:val="1C1C1C"/>
          <w:sz w:val="20"/>
          <w:szCs w:val="20"/>
        </w:rPr>
        <w:t>p. 46.</w:t>
      </w:r>
    </w:p>
  </w:footnote>
  <w:footnote w:id="72">
    <w:p w14:paraId="44B4D46C" w14:textId="2B68C639" w:rsidR="00C14253" w:rsidRPr="00570190" w:rsidRDefault="00C14253" w:rsidP="00DB4300">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 xml:space="preserve"> D. Salvatore, </w:t>
      </w:r>
      <w:r w:rsidRPr="00570190">
        <w:rPr>
          <w:rFonts w:ascii="Times New Roman" w:hAnsi="Times New Roman" w:cs="Times New Roman"/>
          <w:i/>
          <w:sz w:val="20"/>
          <w:szCs w:val="20"/>
        </w:rPr>
        <w:t>Protectionnism and world welfare</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 xml:space="preserve">op. cit., </w:t>
      </w:r>
      <w:r w:rsidRPr="00570190">
        <w:rPr>
          <w:rFonts w:ascii="Times New Roman" w:hAnsi="Times New Roman" w:cs="Times New Roman"/>
          <w:sz w:val="20"/>
          <w:szCs w:val="20"/>
          <w:lang w:val="nl-NL"/>
        </w:rPr>
        <w:t>p. 51.</w:t>
      </w:r>
    </w:p>
  </w:footnote>
  <w:footnote w:id="73">
    <w:p w14:paraId="68461A42" w14:textId="78230970" w:rsidR="00C14253" w:rsidRPr="00570190" w:rsidRDefault="00C14253" w:rsidP="009848D8">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J. </w:t>
      </w:r>
      <w:r w:rsidRPr="00570190">
        <w:rPr>
          <w:rFonts w:ascii="Times New Roman" w:hAnsi="Times New Roman" w:cs="Times New Roman"/>
          <w:smallCaps/>
          <w:sz w:val="20"/>
          <w:szCs w:val="20"/>
        </w:rPr>
        <w:t>Bhagwati,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w:t>
      </w:r>
      <w:r w:rsidRPr="00570190">
        <w:rPr>
          <w:rFonts w:ascii="Times New Roman" w:hAnsi="Times New Roman" w:cs="Times New Roman"/>
          <w:sz w:val="20"/>
          <w:szCs w:val="20"/>
          <w:lang w:val="nl-NL"/>
        </w:rPr>
        <w:t xml:space="preserve"> p. 24.</w:t>
      </w:r>
    </w:p>
  </w:footnote>
  <w:footnote w:id="74">
    <w:p w14:paraId="646A4CD0" w14:textId="0121B7FD" w:rsidR="00C14253" w:rsidRPr="00570190" w:rsidRDefault="00C14253" w:rsidP="009848D8">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 xml:space="preserve"> B. Guillochon,</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Economie internationale</w:t>
      </w:r>
      <w:r w:rsidRPr="00570190">
        <w:rPr>
          <w:rFonts w:ascii="Times New Roman" w:hAnsi="Times New Roman" w:cs="Times New Roman"/>
          <w:sz w:val="20"/>
          <w:szCs w:val="20"/>
        </w:rPr>
        <w:t>, Paris, Dunod, 1994</w:t>
      </w:r>
      <w:r w:rsidRPr="00570190">
        <w:rPr>
          <w:rFonts w:ascii="Times New Roman" w:hAnsi="Times New Roman" w:cs="Times New Roman"/>
          <w:sz w:val="20"/>
          <w:szCs w:val="20"/>
          <w:lang w:val="nl-NL"/>
        </w:rPr>
        <w:t xml:space="preserve">, p. 51; R. </w:t>
      </w:r>
      <w:r w:rsidRPr="00570190">
        <w:rPr>
          <w:rFonts w:ascii="Times New Roman" w:hAnsi="Times New Roman" w:cs="Times New Roman"/>
          <w:smallCaps/>
          <w:sz w:val="20"/>
          <w:szCs w:val="20"/>
        </w:rPr>
        <w:t>Blackhurst, N. Marian, J.</w:t>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Tumlir,</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Libéralisation des échanges commerciaux, protectionnisme et interdépendance</w:t>
      </w:r>
      <w:r w:rsidRPr="00570190">
        <w:rPr>
          <w:rFonts w:ascii="Times New Roman" w:hAnsi="Times New Roman" w:cs="Times New Roman"/>
          <w:sz w:val="20"/>
          <w:szCs w:val="20"/>
        </w:rPr>
        <w:t xml:space="preserve">, GATT, études sur le commerce international, Accord général sur les tarifs douaniers et le commerce, Genève, 1977, </w:t>
      </w:r>
      <w:r w:rsidRPr="00570190">
        <w:rPr>
          <w:rFonts w:ascii="Times New Roman" w:hAnsi="Times New Roman" w:cs="Times New Roman"/>
          <w:sz w:val="20"/>
          <w:szCs w:val="20"/>
          <w:lang w:val="nl-NL"/>
        </w:rPr>
        <w:t>p. 24.</w:t>
      </w:r>
    </w:p>
  </w:footnote>
  <w:footnote w:id="75">
    <w:p w14:paraId="08E278A9" w14:textId="798BA952" w:rsidR="00C14253" w:rsidRPr="00570190" w:rsidRDefault="00C14253" w:rsidP="00DB4300">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S. </w:t>
      </w:r>
      <w:r w:rsidRPr="00570190">
        <w:rPr>
          <w:rFonts w:ascii="Times New Roman" w:hAnsi="Times New Roman" w:cs="Times New Roman"/>
          <w:smallCaps/>
          <w:sz w:val="20"/>
          <w:szCs w:val="20"/>
        </w:rPr>
        <w:t>D’Agostino</w:t>
      </w:r>
      <w:r w:rsidRPr="00570190">
        <w:rPr>
          <w:rFonts w:ascii="Times New Roman" w:hAnsi="Times New Roman" w:cs="Times New Roman"/>
          <w:sz w:val="20"/>
          <w:szCs w:val="20"/>
        </w:rPr>
        <w:t xml:space="preserve">, P. </w:t>
      </w:r>
      <w:r w:rsidRPr="00570190">
        <w:rPr>
          <w:rFonts w:ascii="Times New Roman" w:hAnsi="Times New Roman" w:cs="Times New Roman"/>
          <w:smallCaps/>
          <w:sz w:val="20"/>
          <w:szCs w:val="20"/>
        </w:rPr>
        <w:t>Deubel, M. Mantoussé, G. Renouard</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 463 ; </w:t>
      </w:r>
      <w:r w:rsidRPr="00570190">
        <w:rPr>
          <w:rFonts w:ascii="Times New Roman" w:hAnsi="Times New Roman" w:cs="Times New Roman"/>
          <w:smallCaps/>
          <w:sz w:val="20"/>
          <w:szCs w:val="20"/>
        </w:rPr>
        <w:t>D. Ricardo</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Principes de  l’Economie Politique et de l’Impôt</w:t>
      </w:r>
      <w:r w:rsidRPr="00570190">
        <w:rPr>
          <w:rFonts w:ascii="Times New Roman" w:hAnsi="Times New Roman" w:cs="Times New Roman"/>
          <w:sz w:val="20"/>
          <w:szCs w:val="20"/>
        </w:rPr>
        <w:t xml:space="preserve">, Londres, 1817, Paris, Calmann-Lévy, p. 19 ; </w:t>
      </w:r>
      <w:r w:rsidRPr="00570190">
        <w:rPr>
          <w:rFonts w:ascii="Times New Roman" w:hAnsi="Times New Roman" w:cs="Times New Roman"/>
          <w:smallCaps/>
          <w:sz w:val="20"/>
          <w:szCs w:val="20"/>
        </w:rPr>
        <w:t>D. Salvatore</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Economie internationale</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rPr>
        <w:t>, p. 54.</w:t>
      </w:r>
    </w:p>
  </w:footnote>
  <w:footnote w:id="76">
    <w:p w14:paraId="733BB126" w14:textId="5065B777" w:rsidR="00C14253" w:rsidRPr="00570190" w:rsidRDefault="00C14253" w:rsidP="00DB4300">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J. </w:t>
      </w:r>
      <w:r w:rsidRPr="00570190">
        <w:rPr>
          <w:rFonts w:ascii="Times New Roman" w:hAnsi="Times New Roman" w:cs="Times New Roman"/>
          <w:smallCaps/>
          <w:sz w:val="20"/>
          <w:szCs w:val="20"/>
        </w:rPr>
        <w:t>Bhagwati,</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 xml:space="preserve">op. cit. </w:t>
      </w:r>
      <w:r w:rsidRPr="00570190">
        <w:rPr>
          <w:rFonts w:ascii="Times New Roman" w:hAnsi="Times New Roman" w:cs="Times New Roman"/>
          <w:sz w:val="20"/>
          <w:szCs w:val="20"/>
          <w:lang w:val="nl-NL"/>
        </w:rPr>
        <w:t xml:space="preserve">p. 18. </w:t>
      </w:r>
    </w:p>
  </w:footnote>
  <w:footnote w:id="77">
    <w:p w14:paraId="54080321" w14:textId="4FE0579C" w:rsidR="00C14253" w:rsidRPr="00570190" w:rsidRDefault="00C14253" w:rsidP="00DB4300">
      <w:pPr>
        <w:pStyle w:val="Notedebasdepage"/>
        <w:jc w:val="both"/>
        <w:rPr>
          <w:rFonts w:ascii="Times New Roman" w:hAnsi="Times New Roman" w:cs="Times New Roman"/>
          <w:i/>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D. Ricardo</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Principes de  l’Economie Politique et de l’Impôt</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20.</w:t>
      </w:r>
    </w:p>
  </w:footnote>
  <w:footnote w:id="78">
    <w:p w14:paraId="526CDA6F" w14:textId="6A259FC5" w:rsidR="00C14253" w:rsidRPr="00570190" w:rsidRDefault="00C14253" w:rsidP="00C6437C">
      <w:pPr>
        <w:tabs>
          <w:tab w:val="left" w:pos="2600"/>
        </w:tabs>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D. </w:t>
      </w:r>
      <w:r w:rsidRPr="00570190">
        <w:rPr>
          <w:rFonts w:ascii="Times New Roman" w:hAnsi="Times New Roman" w:cs="Times New Roman"/>
          <w:smallCaps/>
          <w:sz w:val="20"/>
          <w:szCs w:val="20"/>
        </w:rPr>
        <w:t xml:space="preserve">Ricardo, </w:t>
      </w:r>
      <w:r w:rsidRPr="00570190">
        <w:rPr>
          <w:rFonts w:ascii="Times New Roman" w:hAnsi="Times New Roman" w:cs="Times New Roman"/>
          <w:i/>
          <w:sz w:val="20"/>
          <w:szCs w:val="20"/>
        </w:rPr>
        <w:t>The works and correspondence of David Ricardo</w:t>
      </w:r>
      <w:r w:rsidRPr="00570190">
        <w:rPr>
          <w:rFonts w:ascii="Times New Roman" w:hAnsi="Times New Roman" w:cs="Times New Roman"/>
          <w:sz w:val="20"/>
          <w:szCs w:val="20"/>
        </w:rPr>
        <w:t xml:space="preserve">, edited by Piero Sraffa with the collaboration of M. H. DOBB, Volume 1, Cambridge Press University, 1951, pp. 32 et 36 ; S. </w:t>
      </w:r>
      <w:r w:rsidRPr="00570190">
        <w:rPr>
          <w:rFonts w:ascii="Times New Roman" w:hAnsi="Times New Roman" w:cs="Times New Roman"/>
          <w:smallCaps/>
          <w:sz w:val="20"/>
          <w:szCs w:val="20"/>
        </w:rPr>
        <w:t>D’Agostino</w:t>
      </w:r>
      <w:r w:rsidRPr="00570190">
        <w:rPr>
          <w:rFonts w:ascii="Times New Roman" w:hAnsi="Times New Roman" w:cs="Times New Roman"/>
          <w:sz w:val="20"/>
          <w:szCs w:val="20"/>
        </w:rPr>
        <w:t xml:space="preserve">, P. </w:t>
      </w:r>
      <w:r w:rsidRPr="00570190">
        <w:rPr>
          <w:rFonts w:ascii="Times New Roman" w:hAnsi="Times New Roman" w:cs="Times New Roman"/>
          <w:smallCaps/>
          <w:sz w:val="20"/>
          <w:szCs w:val="20"/>
        </w:rPr>
        <w:t>Deubel, M. Mantoussé, G. Renouard</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463.</w:t>
      </w:r>
    </w:p>
  </w:footnote>
  <w:footnote w:id="79">
    <w:p w14:paraId="3504BF2C" w14:textId="417B4E8C" w:rsidR="00C14253" w:rsidRPr="00570190" w:rsidRDefault="00C14253" w:rsidP="00290FFF">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 xml:space="preserve"> B. Guillochon,</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lang w:val="nl-NL"/>
        </w:rPr>
        <w:t>, p, pp. 43 et 44.</w:t>
      </w:r>
    </w:p>
  </w:footnote>
  <w:footnote w:id="80">
    <w:p w14:paraId="1226D593" w14:textId="06DAEBAE" w:rsidR="00C14253" w:rsidRPr="00570190" w:rsidRDefault="00C14253" w:rsidP="00C6437C">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D. </w:t>
      </w:r>
      <w:r w:rsidRPr="00570190">
        <w:rPr>
          <w:rFonts w:ascii="Times New Roman" w:hAnsi="Times New Roman" w:cs="Times New Roman"/>
          <w:smallCaps/>
          <w:sz w:val="20"/>
          <w:szCs w:val="20"/>
        </w:rPr>
        <w:t xml:space="preserve">Ricardo, </w:t>
      </w:r>
      <w:r w:rsidRPr="00570190">
        <w:rPr>
          <w:rFonts w:ascii="Times New Roman" w:hAnsi="Times New Roman" w:cs="Times New Roman"/>
          <w:i/>
          <w:sz w:val="20"/>
          <w:szCs w:val="20"/>
        </w:rPr>
        <w:t>The works and correspondence of David Ricardo</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pp. 32 et 36 ; </w:t>
      </w:r>
      <w:r w:rsidRPr="00570190">
        <w:rPr>
          <w:rFonts w:ascii="Times New Roman" w:hAnsi="Times New Roman" w:cs="Times New Roman"/>
          <w:smallCaps/>
          <w:sz w:val="20"/>
          <w:szCs w:val="20"/>
        </w:rPr>
        <w:t>M. Rainelli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w:t>
      </w:r>
      <w:r w:rsidRPr="00570190">
        <w:rPr>
          <w:rFonts w:ascii="Times New Roman" w:hAnsi="Times New Roman" w:cs="Times New Roman"/>
          <w:sz w:val="20"/>
          <w:szCs w:val="20"/>
          <w:lang w:val="nl-NL"/>
        </w:rPr>
        <w:t xml:space="preserve"> p. 43-45.</w:t>
      </w:r>
    </w:p>
  </w:footnote>
  <w:footnote w:id="81">
    <w:p w14:paraId="76DC3307" w14:textId="31FE3EA3" w:rsidR="00C14253" w:rsidRPr="00570190" w:rsidRDefault="00C14253" w:rsidP="00290FFF">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D. Salvatore</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Economie internationale</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pp. 55 et 56.</w:t>
      </w:r>
    </w:p>
  </w:footnote>
  <w:footnote w:id="82">
    <w:p w14:paraId="789E9072" w14:textId="187061D9" w:rsidR="00C14253" w:rsidRPr="00570190" w:rsidRDefault="00C14253" w:rsidP="00290FFF">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M. Rainelli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w:t>
      </w:r>
      <w:r w:rsidRPr="00570190">
        <w:rPr>
          <w:rFonts w:ascii="Times New Roman" w:hAnsi="Times New Roman" w:cs="Times New Roman"/>
          <w:sz w:val="20"/>
          <w:szCs w:val="20"/>
          <w:lang w:val="nl-NL"/>
        </w:rPr>
        <w:t xml:space="preserve"> p. 44.</w:t>
      </w:r>
    </w:p>
  </w:footnote>
  <w:footnote w:id="83">
    <w:p w14:paraId="76185DD2" w14:textId="3F3F6036"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J.-M. </w:t>
      </w:r>
      <w:r w:rsidRPr="00570190">
        <w:rPr>
          <w:rFonts w:ascii="Times New Roman" w:hAnsi="Times New Roman" w:cs="Times New Roman"/>
          <w:smallCaps/>
          <w:sz w:val="20"/>
          <w:szCs w:val="20"/>
        </w:rPr>
        <w:t xml:space="preserve">Jeanneney,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pp. 51-52 ; D. </w:t>
      </w:r>
      <w:r w:rsidRPr="00570190">
        <w:rPr>
          <w:rFonts w:ascii="Times New Roman" w:hAnsi="Times New Roman" w:cs="Times New Roman"/>
          <w:smallCaps/>
          <w:sz w:val="20"/>
          <w:szCs w:val="20"/>
        </w:rPr>
        <w:t xml:space="preserve">Ricardo, </w:t>
      </w:r>
      <w:r w:rsidRPr="00570190">
        <w:rPr>
          <w:rFonts w:ascii="Times New Roman" w:hAnsi="Times New Roman" w:cs="Times New Roman"/>
          <w:i/>
          <w:sz w:val="20"/>
          <w:szCs w:val="20"/>
        </w:rPr>
        <w:t>The works and correspondence of David Ricardo</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pp.  35 à 37, 62 et 63.</w:t>
      </w:r>
    </w:p>
  </w:footnote>
  <w:footnote w:id="84">
    <w:p w14:paraId="1FD43D99" w14:textId="561D45B0"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D. </w:t>
      </w:r>
      <w:r w:rsidRPr="00570190">
        <w:rPr>
          <w:rFonts w:ascii="Times New Roman" w:hAnsi="Times New Roman" w:cs="Times New Roman"/>
          <w:smallCaps/>
          <w:sz w:val="20"/>
          <w:szCs w:val="20"/>
        </w:rPr>
        <w:t xml:space="preserve">Ricardo, </w:t>
      </w:r>
      <w:r w:rsidRPr="00570190">
        <w:rPr>
          <w:rFonts w:ascii="Times New Roman" w:hAnsi="Times New Roman" w:cs="Times New Roman"/>
          <w:i/>
          <w:sz w:val="20"/>
          <w:szCs w:val="20"/>
        </w:rPr>
        <w:t>The works and correspondence of David Ricardo</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36.</w:t>
      </w:r>
    </w:p>
  </w:footnote>
  <w:footnote w:id="85">
    <w:p w14:paraId="2C4BD73F" w14:textId="4D1CFEEF" w:rsidR="00C14253" w:rsidRPr="00570190" w:rsidRDefault="00C14253" w:rsidP="004B61BC">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P. </w:t>
      </w:r>
      <w:r w:rsidRPr="00570190">
        <w:rPr>
          <w:rFonts w:ascii="Times New Roman" w:hAnsi="Times New Roman" w:cs="Times New Roman"/>
          <w:smallCaps/>
          <w:sz w:val="20"/>
          <w:szCs w:val="20"/>
        </w:rPr>
        <w:t>Ruttley, I. MacVay</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Liberalism and protectionnism in the world trading system</w:t>
      </w:r>
      <w:r w:rsidRPr="00570190">
        <w:rPr>
          <w:rFonts w:ascii="Times New Roman" w:hAnsi="Times New Roman" w:cs="Times New Roman"/>
          <w:sz w:val="20"/>
          <w:szCs w:val="20"/>
        </w:rPr>
        <w:t>, London, Cameron May, 1999, p. 207.</w:t>
      </w:r>
    </w:p>
  </w:footnote>
  <w:footnote w:id="86">
    <w:p w14:paraId="748D5C5B" w14:textId="7E03390D"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J.-M. </w:t>
      </w:r>
      <w:r w:rsidRPr="00570190">
        <w:rPr>
          <w:rFonts w:ascii="Times New Roman" w:hAnsi="Times New Roman" w:cs="Times New Roman"/>
          <w:smallCaps/>
          <w:sz w:val="20"/>
          <w:szCs w:val="20"/>
        </w:rPr>
        <w:t xml:space="preserve">Jeanneney, </w:t>
      </w:r>
      <w:r w:rsidRPr="00570190">
        <w:rPr>
          <w:rFonts w:ascii="Times New Roman" w:hAnsi="Times New Roman" w:cs="Times New Roman"/>
          <w:i/>
          <w:sz w:val="20"/>
          <w:szCs w:val="20"/>
        </w:rPr>
        <w:t>op. cit.</w:t>
      </w:r>
      <w:r w:rsidRPr="00570190">
        <w:rPr>
          <w:rFonts w:ascii="Times New Roman" w:hAnsi="Times New Roman" w:cs="Times New Roman"/>
          <w:sz w:val="20"/>
          <w:szCs w:val="20"/>
        </w:rPr>
        <w:t>, p. 65.</w:t>
      </w:r>
    </w:p>
  </w:footnote>
  <w:footnote w:id="87">
    <w:p w14:paraId="6E1D1268" w14:textId="4082EA84"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 xml:space="preserve"> R. Blackhurst, N. Marian, J. Tumlir</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p. 20; </w:t>
      </w:r>
      <w:r w:rsidRPr="00570190">
        <w:rPr>
          <w:rFonts w:ascii="Times New Roman" w:hAnsi="Times New Roman" w:cs="Times New Roman"/>
          <w:smallCaps/>
          <w:sz w:val="20"/>
          <w:szCs w:val="20"/>
        </w:rPr>
        <w:t>D. Ricardo</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Principes de  l’Economie Politique et de l’Impôt</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65.</w:t>
      </w:r>
    </w:p>
  </w:footnote>
  <w:footnote w:id="88">
    <w:p w14:paraId="6C5809A7" w14:textId="358BE9E5"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D. Ricardo</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Principes de  l’Economie Politique et de l’Impôt</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pp. 65 et 66.</w:t>
      </w:r>
    </w:p>
  </w:footnote>
  <w:footnote w:id="89">
    <w:p w14:paraId="08773ED6" w14:textId="082752DE"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Ibid., </w:t>
      </w:r>
      <w:r w:rsidRPr="00570190">
        <w:rPr>
          <w:rFonts w:ascii="Times New Roman" w:hAnsi="Times New Roman" w:cs="Times New Roman"/>
          <w:sz w:val="20"/>
          <w:szCs w:val="20"/>
        </w:rPr>
        <w:t>p. 66.</w:t>
      </w:r>
    </w:p>
  </w:footnote>
  <w:footnote w:id="90">
    <w:p w14:paraId="61B25242" w14:textId="136C2E4D" w:rsidR="00C14253" w:rsidRPr="00570190" w:rsidRDefault="00C14253" w:rsidP="004B61BC">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P. </w:t>
      </w:r>
      <w:r w:rsidRPr="00570190">
        <w:rPr>
          <w:rFonts w:ascii="Times New Roman" w:hAnsi="Times New Roman" w:cs="Times New Roman"/>
          <w:smallCaps/>
          <w:sz w:val="20"/>
          <w:szCs w:val="20"/>
        </w:rPr>
        <w:t>Ruttley, I. MacVay</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208.</w:t>
      </w:r>
    </w:p>
  </w:footnote>
  <w:footnote w:id="91">
    <w:p w14:paraId="110AA8DD" w14:textId="26216F39"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pp. 208 et 209.</w:t>
      </w:r>
    </w:p>
  </w:footnote>
  <w:footnote w:id="92">
    <w:p w14:paraId="1864AB12" w14:textId="09DF01FD" w:rsidR="00C14253" w:rsidRPr="00570190" w:rsidRDefault="00C14253" w:rsidP="005314D2">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S. </w:t>
      </w:r>
      <w:r w:rsidRPr="00570190">
        <w:rPr>
          <w:rFonts w:ascii="Times New Roman" w:hAnsi="Times New Roman" w:cs="Times New Roman"/>
          <w:smallCaps/>
          <w:sz w:val="20"/>
          <w:szCs w:val="20"/>
        </w:rPr>
        <w:t xml:space="preserve">Zlepting, </w:t>
      </w:r>
      <w:r w:rsidRPr="00570190">
        <w:rPr>
          <w:rFonts w:ascii="Times New Roman" w:hAnsi="Times New Roman" w:cs="Times New Roman"/>
          <w:i/>
          <w:sz w:val="20"/>
          <w:szCs w:val="20"/>
        </w:rPr>
        <w:t>Non-Economic Objectives in WTO Law, Justification Provisions of GATT, GATS, SPS and TBT Agreements</w:t>
      </w:r>
      <w:r w:rsidRPr="00570190">
        <w:rPr>
          <w:rFonts w:ascii="Times New Roman" w:hAnsi="Times New Roman" w:cs="Times New Roman"/>
          <w:sz w:val="20"/>
          <w:szCs w:val="20"/>
        </w:rPr>
        <w:t>, Leiden and Boston, Martinus Nijhoff, 2010, pp. 21 et 23.</w:t>
      </w:r>
    </w:p>
  </w:footnote>
  <w:footnote w:id="93">
    <w:p w14:paraId="255EBF46" w14:textId="261491AD"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J. </w:t>
      </w:r>
      <w:r w:rsidRPr="00570190">
        <w:rPr>
          <w:rFonts w:ascii="Times New Roman" w:hAnsi="Times New Roman" w:cs="Times New Roman"/>
          <w:smallCaps/>
          <w:sz w:val="20"/>
          <w:szCs w:val="20"/>
        </w:rPr>
        <w:t>Bhagwati,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lang w:val="nl-NL"/>
        </w:rPr>
        <w:t xml:space="preserve"> p. 65.</w:t>
      </w:r>
    </w:p>
  </w:footnote>
  <w:footnote w:id="94">
    <w:p w14:paraId="62DE0D6B" w14:textId="34D98C86"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pp. 65-66.</w:t>
      </w:r>
    </w:p>
  </w:footnote>
  <w:footnote w:id="95">
    <w:p w14:paraId="60FCD590" w14:textId="2DF51DD8" w:rsidR="00C14253" w:rsidRPr="00570190" w:rsidRDefault="00C14253" w:rsidP="00127E1B">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S. </w:t>
      </w:r>
      <w:r w:rsidRPr="00570190">
        <w:rPr>
          <w:rFonts w:ascii="Times New Roman" w:hAnsi="Times New Roman" w:cs="Times New Roman"/>
          <w:smallCaps/>
          <w:sz w:val="20"/>
          <w:szCs w:val="20"/>
        </w:rPr>
        <w:t xml:space="preserve">Zlepting,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 22 ; </w:t>
      </w:r>
      <w:hyperlink r:id="rId2" w:history="1">
        <w:r w:rsidRPr="00570190">
          <w:rPr>
            <w:rStyle w:val="Lienhypertexte"/>
            <w:rFonts w:ascii="Times New Roman" w:hAnsi="Times New Roman" w:cs="Times New Roman"/>
            <w:color w:val="auto"/>
            <w:sz w:val="20"/>
            <w:szCs w:val="20"/>
            <w:u w:val="none"/>
          </w:rPr>
          <w:t>https://ecampus.wto.org/admin/files/Course_412/Module_726/ModuleDocuments/GATS-M2-R1-F.pdf</w:t>
        </w:r>
      </w:hyperlink>
    </w:p>
  </w:footnote>
  <w:footnote w:id="96">
    <w:p w14:paraId="4D5D9325" w14:textId="77777777" w:rsidR="00C14253" w:rsidRPr="00570190" w:rsidRDefault="00C14253" w:rsidP="008E35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Ibid., </w:t>
      </w:r>
      <w:r w:rsidRPr="00570190">
        <w:rPr>
          <w:rFonts w:ascii="Times New Roman" w:hAnsi="Times New Roman" w:cs="Times New Roman"/>
          <w:sz w:val="20"/>
          <w:szCs w:val="20"/>
        </w:rPr>
        <w:t>pp. 22-23.</w:t>
      </w:r>
    </w:p>
  </w:footnote>
  <w:footnote w:id="97">
    <w:p w14:paraId="19E2CB16" w14:textId="77777777" w:rsidR="00C14253" w:rsidRPr="00570190" w:rsidRDefault="00C14253" w:rsidP="008E35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hyperlink r:id="rId3" w:history="1">
        <w:r w:rsidRPr="00570190">
          <w:rPr>
            <w:rStyle w:val="Lienhypertexte"/>
            <w:rFonts w:ascii="Times New Roman" w:hAnsi="Times New Roman" w:cs="Times New Roman"/>
            <w:color w:val="auto"/>
            <w:sz w:val="20"/>
            <w:szCs w:val="20"/>
            <w:u w:val="none"/>
          </w:rPr>
          <w:t>https://ecampus.wto.org/admin/files/Course_412/Module_726/ModuleDocuments/GATS-M2-R1-F.pdf</w:t>
        </w:r>
      </w:hyperlink>
      <w:r w:rsidRPr="00570190">
        <w:rPr>
          <w:rFonts w:ascii="Times New Roman" w:hAnsi="Times New Roman" w:cs="Times New Roman"/>
          <w:sz w:val="20"/>
          <w:szCs w:val="20"/>
        </w:rPr>
        <w:t xml:space="preserve"> ;</w:t>
      </w:r>
    </w:p>
  </w:footnote>
  <w:footnote w:id="98">
    <w:p w14:paraId="2C95B9E6" w14:textId="1F010841" w:rsidR="00C14253" w:rsidRPr="00570190" w:rsidRDefault="00C14253" w:rsidP="004B61BC">
      <w:pPr>
        <w:tabs>
          <w:tab w:val="left" w:pos="2600"/>
        </w:tabs>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P. Macrory, A. Appleton, M. Plummer</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The World Trade Organization : legal, economic and political analysis</w:t>
      </w:r>
      <w:r w:rsidRPr="00570190">
        <w:rPr>
          <w:rFonts w:ascii="Times New Roman" w:hAnsi="Times New Roman" w:cs="Times New Roman"/>
          <w:sz w:val="20"/>
          <w:szCs w:val="20"/>
        </w:rPr>
        <w:t xml:space="preserve">, New York, Springer, 2005, </w:t>
      </w:r>
      <w:r w:rsidRPr="00570190">
        <w:rPr>
          <w:rFonts w:ascii="Times New Roman" w:hAnsi="Times New Roman" w:cs="Times New Roman"/>
          <w:sz w:val="20"/>
          <w:szCs w:val="20"/>
          <w:lang w:val="nl-NL"/>
        </w:rPr>
        <w:t>pp. 113 et 118.</w:t>
      </w:r>
    </w:p>
  </w:footnote>
  <w:footnote w:id="99">
    <w:p w14:paraId="07097B29" w14:textId="7A1E84F1" w:rsidR="00C14253" w:rsidRPr="00570190" w:rsidRDefault="00C14253" w:rsidP="009D1306">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Pr>
          <w:rFonts w:ascii="Times New Roman" w:hAnsi="Times New Roman" w:cs="Times New Roman"/>
          <w:smallCaps/>
          <w:sz w:val="20"/>
          <w:szCs w:val="20"/>
        </w:rPr>
        <w:t xml:space="preserve">P. </w:t>
      </w:r>
      <w:r w:rsidRPr="00570190">
        <w:rPr>
          <w:rFonts w:ascii="Times New Roman" w:hAnsi="Times New Roman" w:cs="Times New Roman"/>
          <w:smallCaps/>
          <w:sz w:val="20"/>
          <w:szCs w:val="20"/>
        </w:rPr>
        <w:t>Macrory, A. Appleton, M. Plummer</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xml:space="preserve">, p. 114; </w:t>
      </w:r>
      <w:r w:rsidRPr="00570190">
        <w:rPr>
          <w:rFonts w:ascii="Times New Roman" w:hAnsi="Times New Roman" w:cs="Times New Roman"/>
          <w:smallCaps/>
          <w:sz w:val="20"/>
          <w:szCs w:val="20"/>
        </w:rPr>
        <w:t>Jeanneney, J.-M</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Pour un nouveau protectionnisme</w:t>
      </w:r>
      <w:r w:rsidRPr="00570190">
        <w:rPr>
          <w:rFonts w:ascii="Times New Roman" w:hAnsi="Times New Roman" w:cs="Times New Roman"/>
          <w:sz w:val="20"/>
          <w:szCs w:val="20"/>
        </w:rPr>
        <w:t>, p. 91.</w:t>
      </w:r>
    </w:p>
  </w:footnote>
  <w:footnote w:id="100">
    <w:p w14:paraId="11C675C4" w14:textId="3A2EF1CF" w:rsidR="00C14253" w:rsidRPr="00570190" w:rsidRDefault="00C14253" w:rsidP="008E35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J. </w:t>
      </w:r>
      <w:r w:rsidRPr="00570190">
        <w:rPr>
          <w:rFonts w:ascii="Times New Roman" w:hAnsi="Times New Roman" w:cs="Times New Roman"/>
          <w:smallCaps/>
          <w:sz w:val="20"/>
          <w:szCs w:val="20"/>
        </w:rPr>
        <w:t>Bhagwati,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lang w:val="nl-NL"/>
        </w:rPr>
        <w:t xml:space="preserve"> p. 67.</w:t>
      </w:r>
    </w:p>
  </w:footnote>
  <w:footnote w:id="101">
    <w:p w14:paraId="05A09794" w14:textId="35FF70FC" w:rsidR="00C14253" w:rsidRPr="00570190" w:rsidRDefault="00C14253" w:rsidP="008E35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 xml:space="preserve"> P. Macrory, A. Appleton, M. Plummer</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pp. 132 et 133.</w:t>
      </w:r>
    </w:p>
  </w:footnote>
  <w:footnote w:id="102">
    <w:p w14:paraId="7CE3C528" w14:textId="2D6D1461" w:rsidR="00C14253" w:rsidRPr="00570190" w:rsidRDefault="00C14253" w:rsidP="008E35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J. </w:t>
      </w:r>
      <w:r w:rsidRPr="00570190">
        <w:rPr>
          <w:rFonts w:ascii="Times New Roman" w:hAnsi="Times New Roman" w:cs="Times New Roman"/>
          <w:smallCaps/>
          <w:sz w:val="20"/>
          <w:szCs w:val="20"/>
        </w:rPr>
        <w:t>Bhagwati,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lang w:val="nl-NL"/>
        </w:rPr>
        <w:t>p. 69.</w:t>
      </w:r>
    </w:p>
  </w:footnote>
  <w:footnote w:id="103">
    <w:p w14:paraId="6C761C39" w14:textId="1120D96D"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J. </w:t>
      </w:r>
      <w:r w:rsidRPr="00570190">
        <w:rPr>
          <w:rFonts w:ascii="Times New Roman" w:hAnsi="Times New Roman" w:cs="Times New Roman"/>
          <w:smallCaps/>
          <w:sz w:val="20"/>
          <w:szCs w:val="20"/>
        </w:rPr>
        <w:t>Bhagwati,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lang w:val="nl-NL"/>
        </w:rPr>
        <w:t xml:space="preserve">p. 69; S. S. </w:t>
      </w:r>
      <w:r w:rsidRPr="00570190">
        <w:rPr>
          <w:rFonts w:ascii="Times New Roman" w:hAnsi="Times New Roman" w:cs="Times New Roman"/>
          <w:smallCaps/>
          <w:sz w:val="20"/>
          <w:szCs w:val="20"/>
        </w:rPr>
        <w:t xml:space="preserve">Zlepting,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 21.</w:t>
      </w:r>
    </w:p>
  </w:footnote>
  <w:footnote w:id="104">
    <w:p w14:paraId="719A589D" w14:textId="205204A9" w:rsidR="00C14253" w:rsidRPr="00570190" w:rsidRDefault="00C14253" w:rsidP="00C1710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smallCaps/>
          <w:sz w:val="20"/>
          <w:szCs w:val="20"/>
        </w:rPr>
        <w:t>J. Bhagwati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w:t>
      </w:r>
      <w:r w:rsidRPr="00570190">
        <w:rPr>
          <w:rFonts w:ascii="Times New Roman" w:hAnsi="Times New Roman" w:cs="Times New Roman"/>
          <w:sz w:val="20"/>
          <w:szCs w:val="20"/>
          <w:lang w:val="nl-NL"/>
        </w:rPr>
        <w:t xml:space="preserve"> p. 50; </w:t>
      </w:r>
      <w:r w:rsidRPr="00570190">
        <w:rPr>
          <w:rFonts w:ascii="Times New Roman" w:hAnsi="Times New Roman" w:cs="Times New Roman"/>
          <w:smallCaps/>
          <w:sz w:val="20"/>
          <w:szCs w:val="20"/>
        </w:rPr>
        <w:t>P. Ruttley,</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pp. 59 et 63 ; </w:t>
      </w:r>
      <w:r w:rsidRPr="00570190">
        <w:rPr>
          <w:rFonts w:ascii="Times New Roman" w:hAnsi="Times New Roman" w:cs="Times New Roman"/>
          <w:smallCaps/>
          <w:sz w:val="20"/>
          <w:szCs w:val="20"/>
        </w:rPr>
        <w:t>P. Macrory, A. Appleton, M. Plummer</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rPr>
        <w:t xml:space="preserve">, pp. 301 et 307 ; </w:t>
      </w:r>
      <w:r w:rsidRPr="00570190">
        <w:rPr>
          <w:rFonts w:ascii="Times New Roman" w:hAnsi="Times New Roman" w:cs="Times New Roman"/>
          <w:sz w:val="20"/>
          <w:szCs w:val="20"/>
          <w:lang w:val="nl-NL"/>
        </w:rPr>
        <w:t xml:space="preserve">S. </w:t>
      </w:r>
      <w:r w:rsidRPr="00570190">
        <w:rPr>
          <w:rFonts w:ascii="Times New Roman" w:hAnsi="Times New Roman" w:cs="Times New Roman"/>
          <w:smallCaps/>
          <w:sz w:val="20"/>
          <w:szCs w:val="20"/>
        </w:rPr>
        <w:t xml:space="preserve">Zlepting, </w:t>
      </w:r>
      <w:r w:rsidRPr="00570190">
        <w:rPr>
          <w:rFonts w:ascii="Times New Roman" w:hAnsi="Times New Roman" w:cs="Times New Roman"/>
          <w:i/>
          <w:sz w:val="20"/>
          <w:szCs w:val="20"/>
        </w:rPr>
        <w:t>op. cit.</w:t>
      </w:r>
      <w:r w:rsidRPr="00570190">
        <w:rPr>
          <w:rFonts w:ascii="Times New Roman" w:hAnsi="Times New Roman" w:cs="Times New Roman"/>
          <w:sz w:val="20"/>
          <w:szCs w:val="20"/>
        </w:rPr>
        <w:t>, pp. 18 et 21.</w:t>
      </w:r>
    </w:p>
  </w:footnote>
  <w:footnote w:id="105">
    <w:p w14:paraId="30C8761E" w14:textId="6F7D7ED4" w:rsidR="00C14253" w:rsidRPr="00570190" w:rsidRDefault="00C14253" w:rsidP="008E35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 xml:space="preserve">  J. Bhagwati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w:t>
      </w:r>
      <w:r w:rsidRPr="00570190">
        <w:rPr>
          <w:rFonts w:ascii="Times New Roman" w:hAnsi="Times New Roman" w:cs="Times New Roman"/>
          <w:sz w:val="20"/>
          <w:szCs w:val="20"/>
          <w:lang w:val="nl-NL"/>
        </w:rPr>
        <w:t xml:space="preserve"> </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p. 50; S. </w:t>
      </w:r>
      <w:r w:rsidRPr="00570190">
        <w:rPr>
          <w:rFonts w:ascii="Times New Roman" w:hAnsi="Times New Roman" w:cs="Times New Roman"/>
          <w:smallCaps/>
          <w:sz w:val="20"/>
          <w:szCs w:val="20"/>
        </w:rPr>
        <w:t xml:space="preserve">Zlepting, </w:t>
      </w:r>
      <w:r w:rsidRPr="00570190">
        <w:rPr>
          <w:rFonts w:ascii="Times New Roman" w:hAnsi="Times New Roman" w:cs="Times New Roman"/>
          <w:i/>
          <w:sz w:val="20"/>
          <w:szCs w:val="20"/>
        </w:rPr>
        <w:t>op. cit.</w:t>
      </w:r>
      <w:r w:rsidRPr="00570190">
        <w:rPr>
          <w:rFonts w:ascii="Times New Roman" w:hAnsi="Times New Roman" w:cs="Times New Roman"/>
          <w:sz w:val="20"/>
          <w:szCs w:val="20"/>
        </w:rPr>
        <w:t>, pp. 18 et 21.</w:t>
      </w:r>
    </w:p>
  </w:footnote>
  <w:footnote w:id="106">
    <w:p w14:paraId="2A812D61" w14:textId="489C353C" w:rsidR="00C14253" w:rsidRPr="00570190" w:rsidRDefault="00C14253">
      <w:pPr>
        <w:pStyle w:val="Notedebasdepage"/>
        <w:rPr>
          <w:rFonts w:ascii="Times New Roman" w:hAnsi="Times New Roman" w:cs="Times New Roman"/>
          <w:i/>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R. </w:t>
      </w:r>
      <w:r w:rsidRPr="00570190">
        <w:rPr>
          <w:rFonts w:ascii="Times New Roman" w:hAnsi="Times New Roman" w:cs="Times New Roman"/>
          <w:smallCaps/>
          <w:sz w:val="20"/>
          <w:szCs w:val="20"/>
        </w:rPr>
        <w:t>Blackhurst, N. Marian, J.</w:t>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 xml:space="preserve">Tumlir, </w:t>
      </w:r>
      <w:r w:rsidRPr="00570190">
        <w:rPr>
          <w:rFonts w:ascii="Times New Roman" w:hAnsi="Times New Roman" w:cs="Times New Roman"/>
          <w:i/>
          <w:sz w:val="20"/>
          <w:szCs w:val="20"/>
        </w:rPr>
        <w:t>op. cit.</w:t>
      </w:r>
      <w:r w:rsidRPr="00570190">
        <w:rPr>
          <w:rFonts w:ascii="Times New Roman" w:hAnsi="Times New Roman" w:cs="Times New Roman"/>
          <w:sz w:val="20"/>
          <w:szCs w:val="20"/>
        </w:rPr>
        <w:t>, p. 79.</w:t>
      </w:r>
    </w:p>
  </w:footnote>
  <w:footnote w:id="107">
    <w:p w14:paraId="26B446B8" w14:textId="4E96BF93" w:rsidR="00C14253" w:rsidRPr="00570190" w:rsidRDefault="00C14253" w:rsidP="004B61BC">
      <w:pPr>
        <w:tabs>
          <w:tab w:val="left" w:pos="2600"/>
        </w:tabs>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 xml:space="preserve"> J. Bhagwati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35.</w:t>
      </w:r>
    </w:p>
  </w:footnote>
  <w:footnote w:id="108">
    <w:p w14:paraId="15682C7A" w14:textId="4F7B483B" w:rsidR="00C14253" w:rsidRPr="00570190" w:rsidRDefault="00C14253" w:rsidP="008E35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J. Bhagwati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w:t>
      </w:r>
      <w:r w:rsidRPr="00570190">
        <w:rPr>
          <w:rFonts w:ascii="Times New Roman" w:hAnsi="Times New Roman" w:cs="Times New Roman"/>
          <w:sz w:val="20"/>
          <w:szCs w:val="20"/>
          <w:lang w:val="nl-NL"/>
        </w:rPr>
        <w:t xml:space="preserve"> p. 57; S. </w:t>
      </w:r>
      <w:r w:rsidRPr="00570190">
        <w:rPr>
          <w:rFonts w:ascii="Times New Roman" w:hAnsi="Times New Roman" w:cs="Times New Roman"/>
          <w:smallCaps/>
          <w:sz w:val="20"/>
          <w:szCs w:val="20"/>
        </w:rPr>
        <w:t xml:space="preserve">Zlepting, </w:t>
      </w:r>
      <w:r w:rsidRPr="00570190">
        <w:rPr>
          <w:rFonts w:ascii="Times New Roman" w:hAnsi="Times New Roman" w:cs="Times New Roman"/>
          <w:i/>
          <w:sz w:val="20"/>
          <w:szCs w:val="20"/>
        </w:rPr>
        <w:t>op. cit.</w:t>
      </w:r>
      <w:r w:rsidRPr="00570190">
        <w:rPr>
          <w:rFonts w:ascii="Times New Roman" w:hAnsi="Times New Roman" w:cs="Times New Roman"/>
          <w:sz w:val="20"/>
          <w:szCs w:val="20"/>
        </w:rPr>
        <w:t>, pp. 19 et 21.</w:t>
      </w:r>
    </w:p>
  </w:footnote>
  <w:footnote w:id="109">
    <w:p w14:paraId="0CF5AEDE" w14:textId="478EDBE5" w:rsidR="00C14253" w:rsidRPr="00570190" w:rsidRDefault="00C14253" w:rsidP="000B04A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J. </w:t>
      </w:r>
      <w:r w:rsidRPr="00570190">
        <w:rPr>
          <w:rFonts w:ascii="Times New Roman" w:hAnsi="Times New Roman" w:cs="Times New Roman"/>
          <w:smallCaps/>
          <w:sz w:val="20"/>
          <w:szCs w:val="20"/>
        </w:rPr>
        <w:t>Bhagwati,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lang w:val="nl-NL"/>
        </w:rPr>
        <w:t>p. 70.</w:t>
      </w:r>
    </w:p>
  </w:footnote>
  <w:footnote w:id="110">
    <w:p w14:paraId="587EF40C" w14:textId="08404D03" w:rsidR="00C14253" w:rsidRPr="00570190" w:rsidRDefault="00C14253" w:rsidP="000B04AE">
      <w:pPr>
        <w:tabs>
          <w:tab w:val="left" w:pos="2600"/>
        </w:tabs>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P. Macrory, A. Appleton, M. Plummer</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The World Trade Organization : legal, economic and political analysis</w:t>
      </w:r>
      <w:r w:rsidRPr="00570190">
        <w:rPr>
          <w:rFonts w:ascii="Times New Roman" w:hAnsi="Times New Roman" w:cs="Times New Roman"/>
          <w:sz w:val="20"/>
          <w:szCs w:val="20"/>
        </w:rPr>
        <w:t>, New York, Springer, 2005, pp</w:t>
      </w:r>
      <w:r w:rsidRPr="00570190">
        <w:rPr>
          <w:rFonts w:ascii="Times New Roman" w:hAnsi="Times New Roman" w:cs="Times New Roman"/>
          <w:sz w:val="20"/>
          <w:szCs w:val="20"/>
          <w:lang w:val="nl-NL"/>
        </w:rPr>
        <w:t>. 143 à 145.</w:t>
      </w:r>
    </w:p>
  </w:footnote>
  <w:footnote w:id="111">
    <w:p w14:paraId="19656540" w14:textId="306A59A8" w:rsidR="00C14253" w:rsidRPr="00570190" w:rsidRDefault="00C14253" w:rsidP="008E35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 xml:space="preserve"> J. Bhagwati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35.</w:t>
      </w:r>
      <w:r w:rsidRPr="00570190">
        <w:rPr>
          <w:rFonts w:ascii="Times New Roman" w:hAnsi="Times New Roman" w:cs="Times New Roman"/>
          <w:sz w:val="20"/>
          <w:szCs w:val="20"/>
          <w:lang w:val="nl-NL"/>
        </w:rPr>
        <w:t>, p. 49.</w:t>
      </w:r>
    </w:p>
  </w:footnote>
  <w:footnote w:id="112">
    <w:p w14:paraId="61EA0983" w14:textId="04511680" w:rsidR="00C14253" w:rsidRPr="00570190" w:rsidRDefault="00C14253" w:rsidP="008E35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i/>
          <w:smallCaps/>
          <w:sz w:val="20"/>
          <w:szCs w:val="20"/>
        </w:rPr>
        <w:t>I</w:t>
      </w:r>
      <w:r w:rsidRPr="00570190">
        <w:rPr>
          <w:rFonts w:ascii="Times New Roman" w:hAnsi="Times New Roman" w:cs="Times New Roman"/>
          <w:i/>
          <w:iCs/>
          <w:sz w:val="20"/>
          <w:szCs w:val="20"/>
        </w:rPr>
        <w:t>bid.</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p. 49.</w:t>
      </w:r>
    </w:p>
  </w:footnote>
  <w:footnote w:id="113">
    <w:p w14:paraId="6A7BC872" w14:textId="6E2F92D8" w:rsidR="00C14253" w:rsidRPr="00570190" w:rsidRDefault="00C14253" w:rsidP="008E35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J. </w:t>
      </w:r>
      <w:r w:rsidRPr="00570190">
        <w:rPr>
          <w:rFonts w:ascii="Times New Roman" w:hAnsi="Times New Roman" w:cs="Times New Roman"/>
          <w:smallCaps/>
          <w:sz w:val="20"/>
          <w:szCs w:val="20"/>
        </w:rPr>
        <w:t>Bhagwati,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lang w:val="nl-NL"/>
        </w:rPr>
        <w:t xml:space="preserve">p. 49 et 50. </w:t>
      </w:r>
    </w:p>
  </w:footnote>
  <w:footnote w:id="114">
    <w:p w14:paraId="29C59FCC" w14:textId="4C00A953" w:rsidR="00C14253" w:rsidRPr="00570190" w:rsidRDefault="00C14253" w:rsidP="008E35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 </w:t>
      </w:r>
      <w:r w:rsidRPr="00570190">
        <w:rPr>
          <w:rFonts w:ascii="Times New Roman" w:hAnsi="Times New Roman" w:cs="Times New Roman"/>
          <w:smallCaps/>
          <w:sz w:val="20"/>
          <w:szCs w:val="20"/>
        </w:rPr>
        <w:t>P. Macrory, A. Appleton, M. Plummer</w:t>
      </w:r>
      <w:r w:rsidRPr="00570190">
        <w:rPr>
          <w:rFonts w:ascii="Times New Roman" w:hAnsi="Times New Roman" w:cs="Times New Roman"/>
          <w:sz w:val="20"/>
          <w:szCs w:val="20"/>
        </w:rPr>
        <w:t>,</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p. 123 ; Le commerce international, p. 70.</w:t>
      </w:r>
    </w:p>
  </w:footnote>
  <w:footnote w:id="115">
    <w:p w14:paraId="1D901B8B" w14:textId="7761A6AB" w:rsidR="00C14253" w:rsidRPr="00570190" w:rsidRDefault="00C14253" w:rsidP="008E35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J.-M., </w:t>
      </w:r>
      <w:r w:rsidRPr="00570190">
        <w:rPr>
          <w:rFonts w:ascii="Times New Roman" w:hAnsi="Times New Roman" w:cs="Times New Roman"/>
          <w:smallCaps/>
          <w:sz w:val="20"/>
          <w:szCs w:val="20"/>
        </w:rPr>
        <w:t>Jeanneney,</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pp. 95 et 96.</w:t>
      </w:r>
    </w:p>
  </w:footnote>
  <w:footnote w:id="116">
    <w:p w14:paraId="3C7D7372" w14:textId="0ADFEDA7" w:rsidR="00C14253" w:rsidRPr="00570190" w:rsidRDefault="00C14253" w:rsidP="008E35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P. Macrory, A. Appleton, M. Plummer</w:t>
      </w:r>
      <w:r w:rsidRPr="00570190">
        <w:rPr>
          <w:rFonts w:ascii="Times New Roman" w:hAnsi="Times New Roman" w:cs="Times New Roman"/>
          <w:sz w:val="20"/>
          <w:szCs w:val="20"/>
        </w:rPr>
        <w:t>,</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p. 124.</w:t>
      </w:r>
    </w:p>
  </w:footnote>
  <w:footnote w:id="117">
    <w:p w14:paraId="33C2AEFC" w14:textId="41F60F8D" w:rsidR="00C14253" w:rsidRPr="00570190" w:rsidRDefault="00C14253" w:rsidP="008E35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M. </w:t>
      </w:r>
      <w:r w:rsidRPr="00570190">
        <w:rPr>
          <w:rFonts w:ascii="Times New Roman" w:hAnsi="Times New Roman" w:cs="Times New Roman"/>
          <w:smallCaps/>
          <w:sz w:val="20"/>
          <w:szCs w:val="20"/>
        </w:rPr>
        <w:t>Rainelli,</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p. 70.</w:t>
      </w:r>
    </w:p>
  </w:footnote>
  <w:footnote w:id="118">
    <w:p w14:paraId="4EBFD9D4" w14:textId="3FBB3A37" w:rsidR="00C14253" w:rsidRPr="00570190" w:rsidRDefault="00C14253" w:rsidP="008E35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p. 70.</w:t>
      </w:r>
    </w:p>
  </w:footnote>
  <w:footnote w:id="119">
    <w:p w14:paraId="31148384" w14:textId="491C4CC3" w:rsidR="00C14253" w:rsidRPr="00570190" w:rsidRDefault="00C14253" w:rsidP="008E35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pp. 71 et 72.</w:t>
      </w:r>
    </w:p>
  </w:footnote>
  <w:footnote w:id="120">
    <w:p w14:paraId="7B062F33" w14:textId="44E8AFFC" w:rsidR="00C14253" w:rsidRPr="00570190" w:rsidRDefault="00C14253" w:rsidP="008E35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p. 72.</w:t>
      </w:r>
    </w:p>
  </w:footnote>
  <w:footnote w:id="121">
    <w:p w14:paraId="374DA5F9" w14:textId="6373C189" w:rsidR="00C14253" w:rsidRPr="00570190" w:rsidRDefault="00C14253" w:rsidP="008E35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p. 73.</w:t>
      </w:r>
    </w:p>
  </w:footnote>
  <w:footnote w:id="122">
    <w:p w14:paraId="38E51168" w14:textId="7B24A1B5" w:rsidR="00C14253" w:rsidRPr="00570190" w:rsidRDefault="00C14253" w:rsidP="008E35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p. 73.</w:t>
      </w:r>
    </w:p>
  </w:footnote>
  <w:footnote w:id="123">
    <w:p w14:paraId="46D9955A" w14:textId="4D61DB92" w:rsidR="00C14253" w:rsidRPr="00570190" w:rsidRDefault="00C14253" w:rsidP="008E35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p. 73.</w:t>
      </w:r>
    </w:p>
  </w:footnote>
  <w:footnote w:id="124">
    <w:p w14:paraId="731C4D1D" w14:textId="2371A385"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w:t>
      </w:r>
      <w:r w:rsidRPr="00570190">
        <w:rPr>
          <w:rFonts w:ascii="Times New Roman" w:hAnsi="Times New Roman" w:cs="Times New Roman"/>
          <w:sz w:val="20"/>
          <w:szCs w:val="20"/>
          <w:lang w:val="nl-NL"/>
        </w:rPr>
        <w:t xml:space="preserve">M. </w:t>
      </w:r>
      <w:r w:rsidRPr="00570190">
        <w:rPr>
          <w:rFonts w:ascii="Times New Roman" w:hAnsi="Times New Roman" w:cs="Times New Roman"/>
          <w:smallCaps/>
          <w:sz w:val="20"/>
          <w:szCs w:val="20"/>
          <w:lang w:val="nl-NL"/>
        </w:rPr>
        <w:t>Flory</w:t>
      </w:r>
      <w:r w:rsidRPr="00570190">
        <w:rPr>
          <w:rFonts w:ascii="Times New Roman" w:hAnsi="Times New Roman" w:cs="Times New Roman"/>
          <w:sz w:val="20"/>
          <w:szCs w:val="20"/>
          <w:lang w:val="nl-NL"/>
        </w:rPr>
        <w:t xml:space="preserve">, “Mondialisation et droit international du développement”, </w:t>
      </w:r>
      <w:r w:rsidRPr="00570190">
        <w:rPr>
          <w:rFonts w:ascii="Times New Roman" w:hAnsi="Times New Roman" w:cs="Times New Roman"/>
          <w:i/>
          <w:sz w:val="20"/>
          <w:szCs w:val="20"/>
          <w:lang w:val="nl-NL"/>
        </w:rPr>
        <w:t>RGDIP</w:t>
      </w:r>
      <w:r w:rsidRPr="00570190">
        <w:rPr>
          <w:rFonts w:ascii="Times New Roman" w:hAnsi="Times New Roman" w:cs="Times New Roman"/>
          <w:sz w:val="20"/>
          <w:szCs w:val="20"/>
          <w:lang w:val="nl-NL"/>
        </w:rPr>
        <w:t>, 1997, p. 622.</w:t>
      </w:r>
    </w:p>
  </w:footnote>
  <w:footnote w:id="125">
    <w:p w14:paraId="1FC74A79" w14:textId="3683657D" w:rsidR="00C14253" w:rsidRPr="00570190" w:rsidRDefault="00C14253" w:rsidP="00B40341">
      <w:pPr>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lang w:val="nl-NL"/>
        </w:rPr>
        <w:t xml:space="preserve"> M. Prost</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D’abord les moyens, les besoins viendront après, Commerce et environnement dans la “jurisprudence” du GATT et de l’OMC</w:t>
      </w:r>
      <w:r w:rsidRPr="00570190">
        <w:rPr>
          <w:rFonts w:ascii="Times New Roman" w:hAnsi="Times New Roman" w:cs="Times New Roman"/>
          <w:sz w:val="20"/>
          <w:szCs w:val="20"/>
          <w:lang w:val="nl-NL"/>
        </w:rPr>
        <w:t>, Bruylant, Bruxelles, 2005, pp. 1 et 2.</w:t>
      </w:r>
    </w:p>
  </w:footnote>
  <w:footnote w:id="126">
    <w:p w14:paraId="3B80BE07" w14:textId="40509434"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xml:space="preserve">, p. 2 ; </w:t>
      </w:r>
      <w:r w:rsidRPr="00570190">
        <w:rPr>
          <w:rFonts w:ascii="Times New Roman" w:hAnsi="Times New Roman" w:cs="Times New Roman"/>
          <w:smallCaps/>
          <w:sz w:val="20"/>
          <w:szCs w:val="20"/>
          <w:lang w:val="nl-NL"/>
        </w:rPr>
        <w:t>H. Ouane</w:t>
      </w:r>
      <w:r w:rsidRPr="00570190">
        <w:rPr>
          <w:rFonts w:ascii="Times New Roman" w:hAnsi="Times New Roman" w:cs="Times New Roman"/>
          <w:sz w:val="20"/>
          <w:szCs w:val="20"/>
          <w:lang w:val="nl-NL"/>
        </w:rPr>
        <w:t xml:space="preserve">, Le rôle régulateur dans le cadre de la mondialisation”, dans </w:t>
      </w:r>
      <w:r w:rsidRPr="00570190">
        <w:rPr>
          <w:rFonts w:ascii="Times New Roman" w:hAnsi="Times New Roman" w:cs="Times New Roman"/>
          <w:i/>
          <w:sz w:val="20"/>
          <w:szCs w:val="20"/>
          <w:lang w:val="nl-NL"/>
        </w:rPr>
        <w:t>Qu’est ce que la société?</w:t>
      </w:r>
      <w:r w:rsidRPr="00570190">
        <w:rPr>
          <w:rFonts w:ascii="Times New Roman" w:hAnsi="Times New Roman" w:cs="Times New Roman"/>
          <w:sz w:val="20"/>
          <w:szCs w:val="20"/>
          <w:lang w:val="nl-NL"/>
        </w:rPr>
        <w:t xml:space="preserve"> , Université de tous les savoirs, Paris, éditions Odile Jacob, 2000, p. 841; S. </w:t>
      </w:r>
      <w:r w:rsidRPr="00570190">
        <w:rPr>
          <w:rFonts w:ascii="Times New Roman" w:hAnsi="Times New Roman" w:cs="Times New Roman"/>
          <w:smallCaps/>
          <w:sz w:val="20"/>
          <w:szCs w:val="20"/>
        </w:rPr>
        <w:t xml:space="preserve">Maljean-Dubois, </w:t>
      </w:r>
      <w:r w:rsidRPr="00570190">
        <w:rPr>
          <w:rFonts w:ascii="Times New Roman" w:hAnsi="Times New Roman" w:cs="Times New Roman"/>
          <w:i/>
          <w:sz w:val="20"/>
          <w:szCs w:val="20"/>
        </w:rPr>
        <w:t>op. cit.</w:t>
      </w:r>
      <w:r w:rsidRPr="00570190">
        <w:rPr>
          <w:rFonts w:ascii="Times New Roman" w:hAnsi="Times New Roman" w:cs="Times New Roman"/>
          <w:sz w:val="20"/>
          <w:szCs w:val="20"/>
          <w:lang w:val="nl-NL"/>
        </w:rPr>
        <w:t>, p. 324.</w:t>
      </w:r>
    </w:p>
  </w:footnote>
  <w:footnote w:id="127">
    <w:p w14:paraId="5506E39D" w14:textId="72D39344"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highlight w:val="lightGray"/>
        </w:rPr>
        <w:t xml:space="preserve">Cour internationale de Justice, Recueil des arrêts, avis consultatifs et ordonnances, </w:t>
      </w:r>
      <w:r w:rsidRPr="00570190">
        <w:rPr>
          <w:rFonts w:ascii="Times New Roman" w:hAnsi="Times New Roman" w:cs="Times New Roman"/>
          <w:i/>
          <w:sz w:val="20"/>
          <w:szCs w:val="20"/>
          <w:highlight w:val="lightGray"/>
        </w:rPr>
        <w:t>affaire de la Barcelona Traction</w:t>
      </w:r>
      <w:r w:rsidRPr="00570190">
        <w:rPr>
          <w:rFonts w:ascii="Times New Roman" w:hAnsi="Times New Roman" w:cs="Times New Roman"/>
          <w:sz w:val="20"/>
          <w:szCs w:val="20"/>
          <w:highlight w:val="lightGray"/>
        </w:rPr>
        <w:t>, arrêt du 5 février 1970.</w:t>
      </w:r>
    </w:p>
  </w:footnote>
  <w:footnote w:id="128">
    <w:p w14:paraId="63A99971" w14:textId="45625202"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lang w:val="nl-NL"/>
        </w:rPr>
        <w:t xml:space="preserve">M. Prost, </w:t>
      </w:r>
      <w:r w:rsidRPr="00570190">
        <w:rPr>
          <w:rFonts w:ascii="Times New Roman" w:hAnsi="Times New Roman" w:cs="Times New Roman"/>
          <w:i/>
          <w:sz w:val="20"/>
          <w:szCs w:val="20"/>
        </w:rPr>
        <w:t>op. cit.</w:t>
      </w:r>
      <w:r w:rsidRPr="00570190">
        <w:rPr>
          <w:rFonts w:ascii="Times New Roman" w:hAnsi="Times New Roman" w:cs="Times New Roman"/>
          <w:sz w:val="20"/>
          <w:szCs w:val="20"/>
        </w:rPr>
        <w:t>, p. 2.</w:t>
      </w:r>
    </w:p>
  </w:footnote>
  <w:footnote w:id="129">
    <w:p w14:paraId="0456EC69" w14:textId="0832598A"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smallCaps/>
          <w:sz w:val="20"/>
          <w:szCs w:val="20"/>
          <w:lang w:val="nl-NL"/>
        </w:rPr>
        <w:t xml:space="preserve">M. Prost, </w:t>
      </w:r>
      <w:r w:rsidRPr="00570190">
        <w:rPr>
          <w:rFonts w:ascii="Times New Roman" w:hAnsi="Times New Roman" w:cs="Times New Roman"/>
          <w:i/>
          <w:sz w:val="20"/>
          <w:szCs w:val="20"/>
        </w:rPr>
        <w:t>op. cit.</w:t>
      </w:r>
      <w:r w:rsidRPr="00570190">
        <w:rPr>
          <w:rFonts w:ascii="Times New Roman" w:hAnsi="Times New Roman" w:cs="Times New Roman"/>
          <w:sz w:val="20"/>
          <w:szCs w:val="20"/>
          <w:lang w:val="nl-NL"/>
        </w:rPr>
        <w:t>, p. 2.</w:t>
      </w:r>
    </w:p>
  </w:footnote>
  <w:footnote w:id="130">
    <w:p w14:paraId="15B81A9D" w14:textId="360D05C3"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smallCaps/>
          <w:sz w:val="20"/>
          <w:szCs w:val="20"/>
          <w:lang w:val="nl-NL"/>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p. 3 ; </w:t>
      </w:r>
      <w:r w:rsidRPr="00570190">
        <w:rPr>
          <w:rFonts w:ascii="Times New Roman" w:hAnsi="Times New Roman" w:cs="Times New Roman"/>
          <w:smallCaps/>
          <w:sz w:val="20"/>
          <w:szCs w:val="20"/>
          <w:lang w:val="nl-NL"/>
        </w:rPr>
        <w:t>B. Badie</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Un monde sans souveraineté</w:t>
      </w:r>
      <w:r w:rsidRPr="00570190">
        <w:rPr>
          <w:rFonts w:ascii="Times New Roman" w:hAnsi="Times New Roman" w:cs="Times New Roman"/>
          <w:sz w:val="20"/>
          <w:szCs w:val="20"/>
          <w:lang w:val="nl-NL"/>
        </w:rPr>
        <w:t>, Paris, Fayard, 1999, pp. 25 à 30.</w:t>
      </w:r>
    </w:p>
  </w:footnote>
  <w:footnote w:id="131">
    <w:p w14:paraId="52E1C1CA" w14:textId="1DDFEF32"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lang w:val="nl-NL"/>
        </w:rPr>
        <w:t xml:space="preserve">M. Prost, </w:t>
      </w:r>
      <w:r w:rsidRPr="00570190">
        <w:rPr>
          <w:rFonts w:ascii="Times New Roman" w:hAnsi="Times New Roman" w:cs="Times New Roman"/>
          <w:i/>
          <w:sz w:val="20"/>
          <w:szCs w:val="20"/>
        </w:rPr>
        <w:t>op. cit.</w:t>
      </w:r>
      <w:r w:rsidRPr="00570190">
        <w:rPr>
          <w:rFonts w:ascii="Times New Roman" w:hAnsi="Times New Roman" w:cs="Times New Roman"/>
          <w:sz w:val="20"/>
          <w:szCs w:val="20"/>
          <w:lang w:val="nl-NL"/>
        </w:rPr>
        <w:t>, p. 3.</w:t>
      </w:r>
    </w:p>
  </w:footnote>
  <w:footnote w:id="132">
    <w:p w14:paraId="39D44A89" w14:textId="6E5277CA"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lang w:val="nl-NL"/>
        </w:rPr>
        <w:t xml:space="preserve"> M. Prost, </w:t>
      </w:r>
      <w:r w:rsidRPr="00570190">
        <w:rPr>
          <w:rFonts w:ascii="Times New Roman" w:hAnsi="Times New Roman" w:cs="Times New Roman"/>
          <w:i/>
          <w:sz w:val="20"/>
          <w:szCs w:val="20"/>
        </w:rPr>
        <w:t>op. cit.</w:t>
      </w:r>
      <w:r w:rsidRPr="00570190">
        <w:rPr>
          <w:rFonts w:ascii="Times New Roman" w:hAnsi="Times New Roman" w:cs="Times New Roman"/>
          <w:sz w:val="20"/>
          <w:szCs w:val="20"/>
        </w:rPr>
        <w:t>, p. 2.</w:t>
      </w:r>
      <w:r w:rsidRPr="00570190">
        <w:rPr>
          <w:rFonts w:ascii="Times New Roman" w:hAnsi="Times New Roman" w:cs="Times New Roman"/>
          <w:sz w:val="20"/>
          <w:szCs w:val="20"/>
          <w:lang w:val="nl-NL"/>
        </w:rPr>
        <w:t xml:space="preserve">, p. 3; </w:t>
      </w:r>
      <w:r w:rsidRPr="00570190">
        <w:rPr>
          <w:rFonts w:ascii="Times New Roman" w:hAnsi="Times New Roman" w:cs="Times New Roman"/>
          <w:smallCaps/>
          <w:sz w:val="20"/>
          <w:szCs w:val="20"/>
          <w:lang w:val="nl-NL"/>
        </w:rPr>
        <w:t>G. Burdeau</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L’Etat</w:t>
      </w:r>
      <w:r w:rsidRPr="00570190">
        <w:rPr>
          <w:rFonts w:ascii="Times New Roman" w:hAnsi="Times New Roman" w:cs="Times New Roman"/>
          <w:sz w:val="20"/>
          <w:szCs w:val="20"/>
          <w:lang w:val="nl-NL"/>
        </w:rPr>
        <w:t>, Paris, Editions du Seuil, 1970, p. 15.</w:t>
      </w:r>
    </w:p>
  </w:footnote>
  <w:footnote w:id="133">
    <w:p w14:paraId="203C2FAE" w14:textId="00755744"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smallCaps/>
          <w:sz w:val="20"/>
          <w:szCs w:val="20"/>
          <w:lang w:val="nl-NL"/>
        </w:rPr>
        <w:t>B. Stern</w:t>
      </w:r>
      <w:r w:rsidRPr="00570190">
        <w:rPr>
          <w:rFonts w:ascii="Times New Roman" w:hAnsi="Times New Roman" w:cs="Times New Roman"/>
          <w:sz w:val="20"/>
          <w:szCs w:val="20"/>
          <w:lang w:val="nl-NL"/>
        </w:rPr>
        <w:t xml:space="preserve">, “Etats et souverainetés: la souveraineté de l’Etat face à la mondialisation” dans </w:t>
      </w:r>
      <w:r w:rsidRPr="00570190">
        <w:rPr>
          <w:rFonts w:ascii="Times New Roman" w:hAnsi="Times New Roman" w:cs="Times New Roman"/>
          <w:i/>
          <w:sz w:val="20"/>
          <w:szCs w:val="20"/>
          <w:lang w:val="nl-NL"/>
        </w:rPr>
        <w:t>Qu’est ce que la société?</w:t>
      </w:r>
      <w:r w:rsidRPr="00570190">
        <w:rPr>
          <w:rFonts w:ascii="Times New Roman" w:hAnsi="Times New Roman" w:cs="Times New Roman"/>
          <w:sz w:val="20"/>
          <w:szCs w:val="20"/>
          <w:lang w:val="nl-NL"/>
        </w:rPr>
        <w:t xml:space="preserve">, Université de tous les savoirs, Paris, éditions Odile Jacob, 2000, p. 837; </w:t>
      </w:r>
      <w:r w:rsidRPr="00570190">
        <w:rPr>
          <w:rFonts w:ascii="Times New Roman" w:hAnsi="Times New Roman" w:cs="Times New Roman"/>
          <w:smallCaps/>
          <w:sz w:val="20"/>
          <w:szCs w:val="20"/>
          <w:lang w:val="nl-NL"/>
        </w:rPr>
        <w:t xml:space="preserve">M. Prost, </w:t>
      </w:r>
      <w:r w:rsidRPr="00570190">
        <w:rPr>
          <w:rFonts w:ascii="Times New Roman" w:hAnsi="Times New Roman" w:cs="Times New Roman"/>
          <w:i/>
          <w:sz w:val="20"/>
          <w:szCs w:val="20"/>
        </w:rPr>
        <w:t>op. cit.</w:t>
      </w:r>
      <w:r w:rsidRPr="00570190">
        <w:rPr>
          <w:rFonts w:ascii="Times New Roman" w:hAnsi="Times New Roman" w:cs="Times New Roman"/>
          <w:sz w:val="20"/>
          <w:szCs w:val="20"/>
          <w:lang w:val="nl-NL"/>
        </w:rPr>
        <w:t>,, p. 3</w:t>
      </w:r>
    </w:p>
  </w:footnote>
  <w:footnote w:id="134">
    <w:p w14:paraId="3FFDEBBF" w14:textId="78A0D88D"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smallCaps/>
          <w:sz w:val="20"/>
          <w:szCs w:val="20"/>
          <w:lang w:val="nl-NL"/>
        </w:rPr>
        <w:t xml:space="preserve">M. Prost, </w:t>
      </w:r>
      <w:r w:rsidRPr="00570190">
        <w:rPr>
          <w:rFonts w:ascii="Times New Roman" w:hAnsi="Times New Roman" w:cs="Times New Roman"/>
          <w:i/>
          <w:sz w:val="20"/>
          <w:szCs w:val="20"/>
        </w:rPr>
        <w:t>op. cit.</w:t>
      </w:r>
      <w:r>
        <w:rPr>
          <w:rFonts w:ascii="Times New Roman" w:hAnsi="Times New Roman" w:cs="Times New Roman"/>
          <w:sz w:val="20"/>
          <w:szCs w:val="20"/>
          <w:lang w:val="nl-NL"/>
        </w:rPr>
        <w:t>,</w:t>
      </w:r>
      <w:r w:rsidRPr="00570190">
        <w:rPr>
          <w:rFonts w:ascii="Times New Roman" w:hAnsi="Times New Roman" w:cs="Times New Roman"/>
          <w:sz w:val="20"/>
          <w:szCs w:val="20"/>
          <w:lang w:val="nl-NL"/>
        </w:rPr>
        <w:t xml:space="preserve"> p. 3</w:t>
      </w:r>
    </w:p>
  </w:footnote>
  <w:footnote w:id="135">
    <w:p w14:paraId="0B49C772" w14:textId="3CC44E77"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p. 3.</w:t>
      </w:r>
    </w:p>
  </w:footnote>
  <w:footnote w:id="136">
    <w:p w14:paraId="287517B7" w14:textId="77777777"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xml:space="preserve">., p. 4; </w:t>
      </w:r>
      <w:r w:rsidRPr="00570190">
        <w:rPr>
          <w:rFonts w:ascii="Times New Roman" w:hAnsi="Times New Roman" w:cs="Times New Roman"/>
          <w:smallCaps/>
          <w:sz w:val="20"/>
          <w:szCs w:val="20"/>
          <w:lang w:val="nl-NL"/>
        </w:rPr>
        <w:t>E.C. Luchs</w:t>
      </w:r>
      <w:r w:rsidRPr="00570190">
        <w:rPr>
          <w:rFonts w:ascii="Times New Roman" w:hAnsi="Times New Roman" w:cs="Times New Roman"/>
          <w:sz w:val="20"/>
          <w:szCs w:val="20"/>
          <w:lang w:val="nl-NL"/>
        </w:rPr>
        <w:t xml:space="preserve">, “Maximizing Wealth with Unilaterally Imposed Environmental Trade Sanctions under the GATT and the NAFTA”, </w:t>
      </w:r>
      <w:r w:rsidRPr="00570190">
        <w:rPr>
          <w:rFonts w:ascii="Times New Roman" w:hAnsi="Times New Roman" w:cs="Times New Roman"/>
          <w:i/>
          <w:sz w:val="20"/>
          <w:szCs w:val="20"/>
          <w:lang w:val="nl-NL"/>
        </w:rPr>
        <w:t>Law &amp; Pol’y Int’l Bus</w:t>
      </w:r>
      <w:r w:rsidRPr="00570190">
        <w:rPr>
          <w:rFonts w:ascii="Times New Roman" w:hAnsi="Times New Roman" w:cs="Times New Roman"/>
          <w:sz w:val="20"/>
          <w:szCs w:val="20"/>
          <w:lang w:val="nl-NL"/>
        </w:rPr>
        <w:t>., n°25, 1993/94, p. 732.</w:t>
      </w:r>
    </w:p>
  </w:footnote>
  <w:footnote w:id="137">
    <w:p w14:paraId="2F1B7CE8" w14:textId="20663011" w:rsidR="00C14253" w:rsidRPr="00570190" w:rsidRDefault="00C14253" w:rsidP="00E27EC7">
      <w:pPr>
        <w:rPr>
          <w:rFonts w:ascii="Times New Roman" w:hAnsi="Times New Roman" w:cs="Times New Roman"/>
          <w:color w:val="1C1C1C"/>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color w:val="1C1C1C"/>
          <w:sz w:val="20"/>
          <w:szCs w:val="20"/>
        </w:rPr>
        <w:t>A. Smith</w:t>
      </w:r>
      <w:r w:rsidRPr="00570190">
        <w:rPr>
          <w:rFonts w:ascii="Times New Roman" w:hAnsi="Times New Roman" w:cs="Times New Roman"/>
          <w:color w:val="1C1C1C"/>
          <w:sz w:val="20"/>
          <w:szCs w:val="20"/>
        </w:rPr>
        <w:t xml:space="preserve">, </w:t>
      </w:r>
      <w:r w:rsidRPr="00570190">
        <w:rPr>
          <w:rFonts w:ascii="Times New Roman" w:hAnsi="Times New Roman" w:cs="Times New Roman"/>
          <w:i/>
          <w:color w:val="1C1C1C"/>
          <w:sz w:val="20"/>
          <w:szCs w:val="20"/>
        </w:rPr>
        <w:t>Recherche sur la nature et la cause de la richesse des nations</w:t>
      </w:r>
      <w:r w:rsidRPr="00570190">
        <w:rPr>
          <w:rFonts w:ascii="Times New Roman" w:hAnsi="Times New Roman" w:cs="Times New Roman"/>
          <w:color w:val="1C1C1C"/>
          <w:sz w:val="20"/>
          <w:szCs w:val="20"/>
        </w:rPr>
        <w:t>, Livre IV, ch. 2, 1776 ; d'après réédition, Flammarion, 1991, tome II p. 42-43.</w:t>
      </w:r>
    </w:p>
  </w:footnote>
  <w:footnote w:id="138">
    <w:p w14:paraId="4C939750" w14:textId="710F6FA7"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Voir le débat sur le principe du pollueur-payeur dans </w:t>
      </w:r>
      <w:r w:rsidRPr="00570190">
        <w:rPr>
          <w:rFonts w:ascii="Times New Roman" w:hAnsi="Times New Roman" w:cs="Times New Roman"/>
          <w:smallCaps/>
          <w:sz w:val="20"/>
          <w:szCs w:val="20"/>
          <w:lang w:val="nl-NL"/>
        </w:rPr>
        <w:t>H. Smets</w:t>
      </w:r>
      <w:r w:rsidRPr="00570190">
        <w:rPr>
          <w:rFonts w:ascii="Times New Roman" w:hAnsi="Times New Roman" w:cs="Times New Roman"/>
          <w:sz w:val="20"/>
          <w:szCs w:val="20"/>
          <w:lang w:val="nl-NL"/>
        </w:rPr>
        <w:t xml:space="preserve">, “Examen critique du principe pollueur-payeur” dans </w:t>
      </w:r>
      <w:r w:rsidRPr="00570190">
        <w:rPr>
          <w:rFonts w:ascii="Times New Roman" w:hAnsi="Times New Roman" w:cs="Times New Roman"/>
          <w:i/>
          <w:sz w:val="20"/>
          <w:szCs w:val="20"/>
          <w:lang w:val="nl-NL"/>
        </w:rPr>
        <w:t>Les hommes et l’environnement. Etudes en hommage à Alexander Kiss</w:t>
      </w:r>
      <w:r w:rsidRPr="00570190">
        <w:rPr>
          <w:rFonts w:ascii="Times New Roman" w:hAnsi="Times New Roman" w:cs="Times New Roman"/>
          <w:sz w:val="20"/>
          <w:szCs w:val="20"/>
          <w:lang w:val="nl-NL"/>
        </w:rPr>
        <w:t xml:space="preserve">, Paris, Editions Frison-Roche, 1998, pp. 79 et 95; </w:t>
      </w:r>
      <w:r w:rsidRPr="00570190">
        <w:rPr>
          <w:rFonts w:ascii="Times New Roman" w:hAnsi="Times New Roman" w:cs="Times New Roman"/>
          <w:smallCaps/>
          <w:sz w:val="20"/>
          <w:szCs w:val="20"/>
          <w:lang w:val="nl-NL"/>
        </w:rPr>
        <w:t xml:space="preserve">M. Prost, </w:t>
      </w:r>
      <w:r w:rsidRPr="00570190">
        <w:rPr>
          <w:rFonts w:ascii="Times New Roman" w:hAnsi="Times New Roman" w:cs="Times New Roman"/>
          <w:i/>
          <w:sz w:val="20"/>
          <w:szCs w:val="20"/>
        </w:rPr>
        <w:t>op. cit.</w:t>
      </w:r>
      <w:r w:rsidRPr="00570190">
        <w:rPr>
          <w:rFonts w:ascii="Times New Roman" w:hAnsi="Times New Roman" w:cs="Times New Roman"/>
          <w:sz w:val="20"/>
          <w:szCs w:val="20"/>
          <w:lang w:val="nl-NL"/>
        </w:rPr>
        <w:t>,, p. 5.</w:t>
      </w:r>
    </w:p>
  </w:footnote>
  <w:footnote w:id="139">
    <w:p w14:paraId="5520B965" w14:textId="5BD6E646"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lang w:val="nl-NL"/>
        </w:rPr>
        <w:t xml:space="preserve"> M. Prost, </w:t>
      </w:r>
      <w:r w:rsidRPr="00570190">
        <w:rPr>
          <w:rFonts w:ascii="Times New Roman" w:hAnsi="Times New Roman" w:cs="Times New Roman"/>
          <w:i/>
          <w:sz w:val="20"/>
          <w:szCs w:val="20"/>
        </w:rPr>
        <w:t>op. cit.</w:t>
      </w:r>
      <w:r w:rsidRPr="00570190">
        <w:rPr>
          <w:rFonts w:ascii="Times New Roman" w:hAnsi="Times New Roman" w:cs="Times New Roman"/>
          <w:sz w:val="20"/>
          <w:szCs w:val="20"/>
          <w:lang w:val="nl-NL"/>
        </w:rPr>
        <w:t>,, p. 5.</w:t>
      </w:r>
    </w:p>
  </w:footnote>
  <w:footnote w:id="140">
    <w:p w14:paraId="63752FA8" w14:textId="5CFE72DE" w:rsidR="00C14253" w:rsidRPr="00570190" w:rsidRDefault="00C14253" w:rsidP="00D53376">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S. </w:t>
      </w:r>
      <w:r w:rsidRPr="00570190">
        <w:rPr>
          <w:rFonts w:ascii="Times New Roman" w:hAnsi="Times New Roman" w:cs="Times New Roman"/>
          <w:smallCaps/>
          <w:sz w:val="20"/>
          <w:szCs w:val="20"/>
        </w:rPr>
        <w:t xml:space="preserve">Maljean-Dubois, </w:t>
      </w:r>
      <w:r w:rsidRPr="00570190">
        <w:rPr>
          <w:rFonts w:ascii="Times New Roman" w:hAnsi="Times New Roman" w:cs="Times New Roman"/>
          <w:i/>
          <w:sz w:val="20"/>
          <w:szCs w:val="20"/>
        </w:rPr>
        <w:t>Droit de l’Organisation Mondiale du Commerce et protection de l’environnement</w:t>
      </w:r>
      <w:r w:rsidRPr="00570190">
        <w:rPr>
          <w:rFonts w:ascii="Times New Roman" w:hAnsi="Times New Roman" w:cs="Times New Roman"/>
          <w:sz w:val="20"/>
          <w:szCs w:val="20"/>
        </w:rPr>
        <w:t>, Bruxelles, Bruylant, 2003, p. 14.</w:t>
      </w:r>
    </w:p>
  </w:footnote>
  <w:footnote w:id="141">
    <w:p w14:paraId="555D5D43" w14:textId="13CB8EF5"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P. </w:t>
      </w:r>
      <w:r w:rsidRPr="00570190">
        <w:rPr>
          <w:rFonts w:ascii="Times New Roman" w:hAnsi="Times New Roman" w:cs="Times New Roman"/>
          <w:smallCaps/>
          <w:sz w:val="20"/>
          <w:szCs w:val="20"/>
        </w:rPr>
        <w:t xml:space="preserve">Ruttley, </w:t>
      </w:r>
      <w:r w:rsidRPr="00570190">
        <w:rPr>
          <w:rFonts w:ascii="Times New Roman" w:hAnsi="Times New Roman" w:cs="Times New Roman"/>
          <w:i/>
          <w:sz w:val="20"/>
          <w:szCs w:val="20"/>
        </w:rPr>
        <w:t>op. cit.</w:t>
      </w:r>
      <w:r w:rsidRPr="00570190">
        <w:rPr>
          <w:rFonts w:ascii="Times New Roman" w:hAnsi="Times New Roman" w:cs="Times New Roman"/>
          <w:sz w:val="20"/>
          <w:szCs w:val="20"/>
        </w:rPr>
        <w:t>, p. 44.</w:t>
      </w:r>
    </w:p>
  </w:footnote>
  <w:footnote w:id="142">
    <w:p w14:paraId="5CF80C77" w14:textId="63DD3982" w:rsidR="00C14253" w:rsidRPr="00570190" w:rsidRDefault="00C14253">
      <w:pPr>
        <w:pStyle w:val="Notedebasdepage"/>
        <w:rPr>
          <w:rFonts w:ascii="Times New Roman" w:hAnsi="Times New Roman" w:cs="Times New Roman"/>
          <w:i/>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lang w:val="nl-NL"/>
        </w:rPr>
        <w:t xml:space="preserve">M. Prost, </w:t>
      </w:r>
      <w:r w:rsidRPr="00570190">
        <w:rPr>
          <w:rFonts w:ascii="Times New Roman" w:hAnsi="Times New Roman" w:cs="Times New Roman"/>
          <w:i/>
          <w:sz w:val="20"/>
          <w:szCs w:val="20"/>
        </w:rPr>
        <w:t>op. cit.</w:t>
      </w:r>
      <w:r w:rsidRPr="00570190">
        <w:rPr>
          <w:rFonts w:ascii="Times New Roman" w:hAnsi="Times New Roman" w:cs="Times New Roman"/>
          <w:sz w:val="20"/>
          <w:szCs w:val="20"/>
          <w:lang w:val="nl-NL"/>
        </w:rPr>
        <w:t>,, p. 7.</w:t>
      </w:r>
    </w:p>
  </w:footnote>
  <w:footnote w:id="143">
    <w:p w14:paraId="21B22350" w14:textId="3F534624"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lang w:val="nl-NL"/>
        </w:rPr>
        <w:t>E. U. Petersmann</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The GATT/WTO Dispute Settlement System – International Law, International Organizations and Dispute Settlement</w:t>
      </w:r>
      <w:r w:rsidRPr="00570190">
        <w:rPr>
          <w:rFonts w:ascii="Times New Roman" w:hAnsi="Times New Roman" w:cs="Times New Roman"/>
          <w:sz w:val="20"/>
          <w:szCs w:val="20"/>
          <w:lang w:val="nl-NL"/>
        </w:rPr>
        <w:t xml:space="preserve">, Londres/La Haye, Boston, Kluwer Law International, 1998, p. 3. </w:t>
      </w:r>
    </w:p>
  </w:footnote>
  <w:footnote w:id="144">
    <w:p w14:paraId="4A018163" w14:textId="57BCD28F" w:rsidR="00C14253" w:rsidRPr="00917D30" w:rsidRDefault="00C14253" w:rsidP="00127E1B">
      <w:pPr>
        <w:pStyle w:val="Notedebasdepage"/>
        <w:rPr>
          <w:rFonts w:ascii="Times New Roman" w:hAnsi="Times New Roman" w:cs="Times New Roman"/>
          <w:sz w:val="20"/>
          <w:szCs w:val="20"/>
          <w:lang w:val="nl-NL"/>
        </w:rPr>
      </w:pPr>
      <w:r w:rsidRPr="00917D30">
        <w:rPr>
          <w:rStyle w:val="Marquenotebasdepage"/>
          <w:rFonts w:ascii="Times New Roman" w:hAnsi="Times New Roman" w:cs="Times New Roman"/>
          <w:sz w:val="20"/>
          <w:szCs w:val="20"/>
        </w:rPr>
        <w:footnoteRef/>
      </w:r>
      <w:r w:rsidRPr="00917D30">
        <w:rPr>
          <w:rFonts w:ascii="Times New Roman" w:hAnsi="Times New Roman" w:cs="Times New Roman"/>
          <w:sz w:val="20"/>
          <w:szCs w:val="20"/>
        </w:rPr>
        <w:t xml:space="preserve"> X., </w:t>
      </w:r>
      <w:r w:rsidRPr="00917D30">
        <w:rPr>
          <w:rFonts w:ascii="Times New Roman" w:hAnsi="Times New Roman" w:cs="Times New Roman"/>
          <w:i/>
          <w:sz w:val="20"/>
          <w:szCs w:val="20"/>
        </w:rPr>
        <w:t>Un commerce ouvert sur l’avenir</w:t>
      </w:r>
      <w:r w:rsidRPr="00917D30">
        <w:rPr>
          <w:rFonts w:ascii="Times New Roman" w:hAnsi="Times New Roman" w:cs="Times New Roman"/>
          <w:sz w:val="20"/>
          <w:szCs w:val="20"/>
        </w:rPr>
        <w:t>, Genève, OMC, 1995, p. 8 ;</w:t>
      </w:r>
      <w:r w:rsidRPr="00917D30">
        <w:rPr>
          <w:rFonts w:ascii="Times New Roman" w:hAnsi="Times New Roman" w:cs="Times New Roman"/>
          <w:sz w:val="20"/>
          <w:szCs w:val="20"/>
          <w:lang w:val="nl-NL"/>
        </w:rPr>
        <w:t xml:space="preserve"> </w:t>
      </w:r>
      <w:r w:rsidRPr="00917D30">
        <w:rPr>
          <w:rFonts w:ascii="Times New Roman" w:hAnsi="Times New Roman" w:cs="Times New Roman"/>
          <w:smallCaps/>
          <w:sz w:val="20"/>
          <w:szCs w:val="20"/>
          <w:lang w:val="nl-NL"/>
        </w:rPr>
        <w:t>E. U. Petersmann</w:t>
      </w:r>
      <w:r w:rsidRPr="00917D30">
        <w:rPr>
          <w:rFonts w:ascii="Times New Roman" w:hAnsi="Times New Roman" w:cs="Times New Roman"/>
          <w:sz w:val="20"/>
          <w:szCs w:val="20"/>
        </w:rPr>
        <w:t xml:space="preserve"> , </w:t>
      </w:r>
      <w:r w:rsidRPr="00917D30">
        <w:rPr>
          <w:rFonts w:ascii="Times New Roman" w:hAnsi="Times New Roman" w:cs="Times New Roman"/>
          <w:i/>
          <w:sz w:val="20"/>
          <w:szCs w:val="20"/>
        </w:rPr>
        <w:t>op. cit.</w:t>
      </w:r>
      <w:r w:rsidRPr="00917D30">
        <w:rPr>
          <w:rFonts w:ascii="Times New Roman" w:hAnsi="Times New Roman" w:cs="Times New Roman"/>
          <w:sz w:val="20"/>
          <w:szCs w:val="20"/>
        </w:rPr>
        <w:t xml:space="preserve">, pp. 3 et 4 ; </w:t>
      </w:r>
      <w:hyperlink r:id="rId4" w:history="1">
        <w:dir w:val="ltr">
          <w:r w:rsidRPr="00917D30">
            <w:rPr>
              <w:rFonts w:ascii="Times New Roman" w:hAnsi="Times New Roman" w:cs="Times New Roman"/>
              <w:sz w:val="20"/>
              <w:szCs w:val="20"/>
            </w:rPr>
            <w:t>https://www.wto.org/french/thewto_f/whatis_f/tif_f/understanding_f.doc</w:t>
          </w:r>
          <w:r w:rsidRPr="00917D30">
            <w:rPr>
              <w:rFonts w:ascii="Times New Roman" w:hAnsi="Times New Roman" w:cs="Times New Roman"/>
              <w:sz w:val="20"/>
              <w:szCs w:val="20"/>
            </w:rPr>
            <w:t>‬</w:t>
          </w:r>
          <w:r w:rsidRPr="00917D30">
            <w:rPr>
              <w:rFonts w:ascii="Times New Roman" w:hAnsi="Times New Roman" w:cs="Times New Roman"/>
              <w:sz w:val="20"/>
              <w:szCs w:val="20"/>
            </w:rPr>
            <w:t>‬</w:t>
          </w:r>
        </w:dir>
      </w:hyperlink>
      <w:dir w:val="ltr">
        <w:r w:rsidRPr="00917D30">
          <w:rPr>
            <w:rFonts w:ascii="Times New Roman" w:hAnsi="Times New Roman" w:cs="Times New Roman"/>
            <w:color w:val="181818"/>
            <w:sz w:val="20"/>
            <w:szCs w:val="20"/>
          </w:rPr>
          <w:t>.</w:t>
        </w:r>
        <w:r w:rsidRPr="00917D30">
          <w:rPr>
            <w:rFonts w:ascii="Times New Roman" w:hAnsi="Times New Roman" w:cs="Times New Roman"/>
            <w:color w:val="181818"/>
            <w:sz w:val="20"/>
            <w:szCs w:val="20"/>
          </w:rPr>
          <w:t>‬</w:t>
        </w:r>
        <w:r w:rsidRPr="00917D30">
          <w:rPr>
            <w:rFonts w:ascii="Times New Roman" w:hAnsi="Times New Roman" w:cs="Times New Roman"/>
            <w:sz w:val="20"/>
            <w:szCs w:val="20"/>
          </w:rPr>
          <w:t>‬</w:t>
        </w:r>
        <w:r w:rsidRPr="00917D30">
          <w:rPr>
            <w:rFonts w:ascii="Times New Roman" w:hAnsi="Times New Roman" w:cs="Times New Roman"/>
            <w:sz w:val="20"/>
            <w:szCs w:val="20"/>
          </w:rPr>
          <w:t>‬</w:t>
        </w:r>
      </w:dir>
    </w:p>
  </w:footnote>
  <w:footnote w:id="145">
    <w:p w14:paraId="36CD9E30" w14:textId="3F33E653" w:rsidR="00C14253" w:rsidRPr="00917D30" w:rsidRDefault="00C14253" w:rsidP="00127E1B">
      <w:pPr>
        <w:pStyle w:val="Notedebasdepage"/>
        <w:rPr>
          <w:rFonts w:ascii="Times New Roman" w:hAnsi="Times New Roman" w:cs="Times New Roman"/>
          <w:sz w:val="20"/>
          <w:szCs w:val="20"/>
          <w:lang w:val="nl-NL"/>
        </w:rPr>
      </w:pPr>
      <w:r w:rsidRPr="00917D30">
        <w:rPr>
          <w:rStyle w:val="Marquenotebasdepage"/>
          <w:rFonts w:ascii="Times New Roman" w:hAnsi="Times New Roman" w:cs="Times New Roman"/>
          <w:sz w:val="20"/>
          <w:szCs w:val="20"/>
        </w:rPr>
        <w:footnoteRef/>
      </w:r>
      <w:r w:rsidRPr="00917D30">
        <w:rPr>
          <w:rFonts w:ascii="Times New Roman" w:hAnsi="Times New Roman" w:cs="Times New Roman"/>
          <w:sz w:val="20"/>
          <w:szCs w:val="20"/>
        </w:rPr>
        <w:t xml:space="preserve"> X., </w:t>
      </w:r>
      <w:r w:rsidRPr="00917D30">
        <w:rPr>
          <w:rFonts w:ascii="Times New Roman" w:hAnsi="Times New Roman" w:cs="Times New Roman"/>
          <w:i/>
          <w:sz w:val="20"/>
          <w:szCs w:val="20"/>
        </w:rPr>
        <w:t>Un commerce ouvert sur l’avenir</w:t>
      </w:r>
      <w:r w:rsidRPr="00917D30">
        <w:rPr>
          <w:rFonts w:ascii="Times New Roman" w:hAnsi="Times New Roman" w:cs="Times New Roman"/>
          <w:sz w:val="20"/>
          <w:szCs w:val="20"/>
        </w:rPr>
        <w:t>, Genève, OMC, 1995, p. 8.</w:t>
      </w:r>
    </w:p>
  </w:footnote>
  <w:footnote w:id="146">
    <w:p w14:paraId="093A6E82" w14:textId="783B3AD9" w:rsidR="00C14253" w:rsidRPr="00570190" w:rsidRDefault="00C14253" w:rsidP="00127E1B">
      <w:pPr>
        <w:pStyle w:val="Notedebasdepage"/>
        <w:rPr>
          <w:rFonts w:ascii="Times New Roman" w:hAnsi="Times New Roman" w:cs="Times New Roman"/>
          <w:i/>
          <w:sz w:val="20"/>
          <w:szCs w:val="20"/>
          <w:lang w:val="nl-NL"/>
        </w:rPr>
      </w:pPr>
      <w:r w:rsidRPr="00917D30">
        <w:rPr>
          <w:rStyle w:val="Marquenotebasdepage"/>
          <w:rFonts w:ascii="Times New Roman" w:hAnsi="Times New Roman" w:cs="Times New Roman"/>
          <w:sz w:val="20"/>
          <w:szCs w:val="20"/>
        </w:rPr>
        <w:footnoteRef/>
      </w:r>
      <w:r w:rsidRPr="00917D30">
        <w:rPr>
          <w:rFonts w:ascii="Times New Roman" w:hAnsi="Times New Roman" w:cs="Times New Roman"/>
          <w:sz w:val="20"/>
          <w:szCs w:val="20"/>
          <w:lang w:val="nl-NL"/>
        </w:rPr>
        <w:t xml:space="preserve"> </w:t>
      </w:r>
      <w:r w:rsidRPr="00917D30">
        <w:rPr>
          <w:rFonts w:ascii="Times New Roman" w:hAnsi="Times New Roman" w:cs="Times New Roman"/>
          <w:i/>
          <w:sz w:val="20"/>
          <w:szCs w:val="20"/>
          <w:lang w:val="nl-NL"/>
        </w:rPr>
        <w:t>Ibid</w:t>
      </w:r>
      <w:r w:rsidRPr="00917D30">
        <w:rPr>
          <w:rFonts w:ascii="Times New Roman" w:hAnsi="Times New Roman" w:cs="Times New Roman"/>
          <w:sz w:val="20"/>
          <w:szCs w:val="20"/>
          <w:lang w:val="nl-NL"/>
        </w:rPr>
        <w:t>., p. 8.</w:t>
      </w:r>
    </w:p>
  </w:footnote>
  <w:footnote w:id="147">
    <w:p w14:paraId="21AE2741" w14:textId="134D874D"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lang w:val="nl-NL"/>
        </w:rPr>
        <w:t xml:space="preserve">M. Prost, </w:t>
      </w:r>
      <w:r w:rsidRPr="00570190">
        <w:rPr>
          <w:rFonts w:ascii="Times New Roman" w:hAnsi="Times New Roman" w:cs="Times New Roman"/>
          <w:i/>
          <w:sz w:val="20"/>
          <w:szCs w:val="20"/>
        </w:rPr>
        <w:t>op. cit.</w:t>
      </w:r>
      <w:r w:rsidRPr="00570190">
        <w:rPr>
          <w:rFonts w:ascii="Times New Roman" w:hAnsi="Times New Roman" w:cs="Times New Roman"/>
          <w:sz w:val="20"/>
          <w:szCs w:val="20"/>
          <w:lang w:val="nl-NL"/>
        </w:rPr>
        <w:t>, p. 9.</w:t>
      </w:r>
    </w:p>
  </w:footnote>
  <w:footnote w:id="148">
    <w:p w14:paraId="31249AAB" w14:textId="22F7A396"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Dans son dernier rapport sur “Le commerce et l’environnement à l’OMC”, le secrétariat de l’OMC a rappelé que “l’OMC n’est pas une agence de protection de l’environnement (…) Sa compétence pour ce qui concerne le commerce et l’environnement se limite aux politiques commerciales et aux aspects des politiques environnementales qui touchent au commerce”, </w:t>
      </w:r>
      <w:r w:rsidRPr="00570190">
        <w:rPr>
          <w:rFonts w:ascii="Times New Roman" w:hAnsi="Times New Roman" w:cs="Times New Roman"/>
          <w:i/>
          <w:sz w:val="20"/>
          <w:szCs w:val="20"/>
          <w:lang w:val="nl-NL"/>
        </w:rPr>
        <w:t>Le commerce et l’environnement à l’OMC</w:t>
      </w:r>
      <w:r w:rsidRPr="00570190">
        <w:rPr>
          <w:rFonts w:ascii="Times New Roman" w:hAnsi="Times New Roman" w:cs="Times New Roman"/>
          <w:sz w:val="20"/>
          <w:szCs w:val="20"/>
          <w:lang w:val="nl-NL"/>
        </w:rPr>
        <w:t>, Genève, OMC, 2004, p. 7.</w:t>
      </w:r>
    </w:p>
  </w:footnote>
  <w:footnote w:id="149">
    <w:p w14:paraId="644E527C" w14:textId="77777777"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lang w:val="nl-NL"/>
        </w:rPr>
        <w:t>E. Canal-Forgues</w:t>
      </w:r>
      <w:r w:rsidRPr="00570190">
        <w:rPr>
          <w:rFonts w:ascii="Times New Roman" w:hAnsi="Times New Roman" w:cs="Times New Roman"/>
          <w:sz w:val="20"/>
          <w:szCs w:val="20"/>
          <w:lang w:val="nl-NL"/>
        </w:rPr>
        <w:t xml:space="preserve">, “Sur l’interpétation dans le droit de l’OMC”, </w:t>
      </w:r>
      <w:r w:rsidRPr="00570190">
        <w:rPr>
          <w:rFonts w:ascii="Times New Roman" w:hAnsi="Times New Roman" w:cs="Times New Roman"/>
          <w:i/>
          <w:sz w:val="20"/>
          <w:szCs w:val="20"/>
          <w:lang w:val="nl-NL"/>
        </w:rPr>
        <w:t>RGDIP</w:t>
      </w:r>
      <w:r w:rsidRPr="00570190">
        <w:rPr>
          <w:rFonts w:ascii="Times New Roman" w:hAnsi="Times New Roman" w:cs="Times New Roman"/>
          <w:sz w:val="20"/>
          <w:szCs w:val="20"/>
          <w:lang w:val="nl-NL"/>
        </w:rPr>
        <w:t>, 2001/1, p. 25.</w:t>
      </w:r>
    </w:p>
  </w:footnote>
  <w:footnote w:id="150">
    <w:p w14:paraId="3C1726C4" w14:textId="18192972"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lang w:val="nl-NL"/>
        </w:rPr>
        <w:t xml:space="preserve">M. Prost, </w:t>
      </w:r>
      <w:r w:rsidRPr="00570190">
        <w:rPr>
          <w:rFonts w:ascii="Times New Roman" w:hAnsi="Times New Roman" w:cs="Times New Roman"/>
          <w:i/>
          <w:sz w:val="20"/>
          <w:szCs w:val="20"/>
        </w:rPr>
        <w:t>op. cit.</w:t>
      </w:r>
      <w:r w:rsidRPr="00570190">
        <w:rPr>
          <w:rFonts w:ascii="Times New Roman" w:hAnsi="Times New Roman" w:cs="Times New Roman"/>
          <w:sz w:val="20"/>
          <w:szCs w:val="20"/>
        </w:rPr>
        <w:t>, p. 10.</w:t>
      </w:r>
    </w:p>
  </w:footnote>
  <w:footnote w:id="151">
    <w:p w14:paraId="62214C32" w14:textId="73639180"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p. 10.</w:t>
      </w:r>
    </w:p>
  </w:footnote>
  <w:footnote w:id="152">
    <w:p w14:paraId="32750277" w14:textId="749B2700"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Le Comité « Commerce et Environnement » qui fut lui aussi un échec,  avait été créé simultanément avec l’OMC : </w:t>
      </w:r>
      <w:r w:rsidRPr="00570190">
        <w:rPr>
          <w:rFonts w:ascii="Times New Roman" w:hAnsi="Times New Roman" w:cs="Times New Roman"/>
          <w:i/>
          <w:sz w:val="20"/>
          <w:szCs w:val="20"/>
        </w:rPr>
        <w:t>Commerce et Environnement</w:t>
      </w:r>
      <w:r w:rsidRPr="00570190">
        <w:rPr>
          <w:rFonts w:ascii="Times New Roman" w:hAnsi="Times New Roman" w:cs="Times New Roman"/>
          <w:sz w:val="20"/>
          <w:szCs w:val="20"/>
        </w:rPr>
        <w:t xml:space="preserve">, décision ministérielle du 14 avril 1994, </w:t>
      </w:r>
      <w:r w:rsidRPr="00570190">
        <w:rPr>
          <w:rFonts w:ascii="Times New Roman" w:hAnsi="Times New Roman" w:cs="Times New Roman"/>
          <w:i/>
          <w:sz w:val="20"/>
          <w:szCs w:val="20"/>
        </w:rPr>
        <w:t>ILM</w:t>
      </w:r>
      <w:r w:rsidRPr="00570190">
        <w:rPr>
          <w:rFonts w:ascii="Times New Roman" w:hAnsi="Times New Roman" w:cs="Times New Roman"/>
          <w:sz w:val="20"/>
          <w:szCs w:val="20"/>
        </w:rPr>
        <w:t>, 1994, pp. 1267-1269. </w:t>
      </w:r>
    </w:p>
  </w:footnote>
  <w:footnote w:id="153">
    <w:p w14:paraId="00A1B390" w14:textId="322928FF"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lang w:val="nl-NL"/>
        </w:rPr>
        <w:t>J. Cameron, K. Campbell</w:t>
      </w:r>
      <w:r w:rsidRPr="00570190">
        <w:rPr>
          <w:rFonts w:ascii="Times New Roman" w:hAnsi="Times New Roman" w:cs="Times New Roman"/>
          <w:sz w:val="20"/>
          <w:szCs w:val="20"/>
          <w:lang w:val="nl-NL"/>
        </w:rPr>
        <w:t xml:space="preserve">, “Callenging the Boundaries of the DSU through Trade and Environment Disputes”, </w:t>
      </w:r>
      <w:r w:rsidRPr="00570190">
        <w:rPr>
          <w:rFonts w:ascii="Times New Roman" w:hAnsi="Times New Roman" w:cs="Times New Roman"/>
          <w:i/>
          <w:sz w:val="20"/>
          <w:szCs w:val="20"/>
          <w:lang w:val="nl-NL"/>
        </w:rPr>
        <w:t>Dispute Resolution in the World Trade Organization</w:t>
      </w:r>
      <w:r w:rsidRPr="00570190">
        <w:rPr>
          <w:rFonts w:ascii="Times New Roman" w:hAnsi="Times New Roman" w:cs="Times New Roman"/>
          <w:sz w:val="20"/>
          <w:szCs w:val="20"/>
          <w:lang w:val="nl-NL"/>
        </w:rPr>
        <w:t xml:space="preserve">, London, James Cameron, 1998, p. 204; </w:t>
      </w:r>
      <w:r w:rsidRPr="00570190">
        <w:rPr>
          <w:rFonts w:ascii="Times New Roman" w:hAnsi="Times New Roman" w:cs="Times New Roman"/>
          <w:smallCaps/>
          <w:sz w:val="20"/>
          <w:szCs w:val="20"/>
          <w:lang w:val="nl-NL"/>
        </w:rPr>
        <w:t xml:space="preserve">M. Prost,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page 11.</w:t>
      </w:r>
    </w:p>
  </w:footnote>
  <w:footnote w:id="154">
    <w:p w14:paraId="56723EC1" w14:textId="76C7D615"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smallCaps/>
          <w:sz w:val="20"/>
          <w:szCs w:val="20"/>
          <w:lang w:val="nl-NL"/>
        </w:rPr>
        <w:t xml:space="preserve">M. Prost,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p. 12.</w:t>
      </w:r>
    </w:p>
  </w:footnote>
  <w:footnote w:id="155">
    <w:p w14:paraId="25991257" w14:textId="07C07701" w:rsidR="00C14253" w:rsidRPr="00917D30" w:rsidRDefault="00C14253" w:rsidP="00127E1B">
      <w:pPr>
        <w:pStyle w:val="Notedebasdepage"/>
        <w:rPr>
          <w:rFonts w:ascii="Times New Roman" w:hAnsi="Times New Roman" w:cs="Times New Roman"/>
          <w:sz w:val="20"/>
          <w:szCs w:val="20"/>
          <w:lang w:val="nl-NL"/>
        </w:rPr>
      </w:pPr>
      <w:r w:rsidRPr="00917D30">
        <w:rPr>
          <w:rStyle w:val="Marquenotebasdepage"/>
          <w:rFonts w:ascii="Times New Roman" w:hAnsi="Times New Roman" w:cs="Times New Roman"/>
          <w:sz w:val="20"/>
          <w:szCs w:val="20"/>
        </w:rPr>
        <w:footnoteRef/>
      </w:r>
      <w:r w:rsidRPr="00917D30">
        <w:rPr>
          <w:rFonts w:ascii="Times New Roman" w:hAnsi="Times New Roman" w:cs="Times New Roman"/>
          <w:sz w:val="20"/>
          <w:szCs w:val="20"/>
        </w:rPr>
        <w:t xml:space="preserve"> GATT, article 1</w:t>
      </w:r>
      <w:r w:rsidRPr="00917D30">
        <w:rPr>
          <w:rFonts w:ascii="Times New Roman" w:hAnsi="Times New Roman" w:cs="Times New Roman"/>
          <w:sz w:val="20"/>
          <w:szCs w:val="20"/>
          <w:vertAlign w:val="superscript"/>
        </w:rPr>
        <w:t>er </w:t>
      </w:r>
    </w:p>
  </w:footnote>
  <w:footnote w:id="156">
    <w:p w14:paraId="7C61565D" w14:textId="2B76CDC3" w:rsidR="00C14253" w:rsidRPr="00917D30" w:rsidRDefault="00C14253" w:rsidP="00127E1B">
      <w:pPr>
        <w:pStyle w:val="Notedebasdepage"/>
        <w:rPr>
          <w:rFonts w:ascii="Times New Roman" w:hAnsi="Times New Roman" w:cs="Times New Roman"/>
          <w:sz w:val="20"/>
          <w:szCs w:val="20"/>
          <w:lang w:val="nl-NL"/>
        </w:rPr>
      </w:pPr>
      <w:r w:rsidRPr="00917D30">
        <w:rPr>
          <w:rStyle w:val="Marquenotebasdepage"/>
          <w:rFonts w:ascii="Times New Roman" w:hAnsi="Times New Roman" w:cs="Times New Roman"/>
          <w:sz w:val="20"/>
          <w:szCs w:val="20"/>
        </w:rPr>
        <w:footnoteRef/>
      </w:r>
      <w:r w:rsidRPr="00917D30">
        <w:rPr>
          <w:rFonts w:ascii="Times New Roman" w:hAnsi="Times New Roman" w:cs="Times New Roman"/>
          <w:sz w:val="20"/>
          <w:szCs w:val="20"/>
        </w:rPr>
        <w:t xml:space="preserve"> GATT, article III-2 </w:t>
      </w:r>
    </w:p>
  </w:footnote>
  <w:footnote w:id="157">
    <w:p w14:paraId="3D3B27EB" w14:textId="4C0984AB" w:rsidR="00C14253" w:rsidRPr="00917D30" w:rsidRDefault="00C14253" w:rsidP="00127E1B">
      <w:pPr>
        <w:pStyle w:val="Notedebasdepage"/>
        <w:rPr>
          <w:rFonts w:ascii="Times New Roman" w:hAnsi="Times New Roman" w:cs="Times New Roman"/>
          <w:sz w:val="20"/>
          <w:szCs w:val="20"/>
          <w:lang w:val="nl-NL"/>
        </w:rPr>
      </w:pPr>
      <w:r w:rsidRPr="00917D30">
        <w:rPr>
          <w:rStyle w:val="Marquenotebasdepage"/>
          <w:rFonts w:ascii="Times New Roman" w:hAnsi="Times New Roman" w:cs="Times New Roman"/>
          <w:sz w:val="20"/>
          <w:szCs w:val="20"/>
        </w:rPr>
        <w:footnoteRef/>
      </w:r>
      <w:r w:rsidRPr="00917D30">
        <w:rPr>
          <w:rFonts w:ascii="Times New Roman" w:hAnsi="Times New Roman" w:cs="Times New Roman"/>
          <w:sz w:val="20"/>
          <w:szCs w:val="20"/>
        </w:rPr>
        <w:t xml:space="preserve"> GATT, article XI-1 </w:t>
      </w:r>
    </w:p>
  </w:footnote>
  <w:footnote w:id="158">
    <w:p w14:paraId="21773F36" w14:textId="641407C7" w:rsidR="00C14253" w:rsidRPr="00917D30" w:rsidRDefault="00C14253" w:rsidP="00127E1B">
      <w:pPr>
        <w:pStyle w:val="Notedebasdepage"/>
        <w:rPr>
          <w:rFonts w:ascii="Times New Roman" w:hAnsi="Times New Roman" w:cs="Times New Roman"/>
          <w:sz w:val="20"/>
          <w:szCs w:val="20"/>
          <w:lang w:val="nl-NL"/>
        </w:rPr>
      </w:pPr>
      <w:r w:rsidRPr="00917D30">
        <w:rPr>
          <w:rStyle w:val="Marquenotebasdepage"/>
          <w:rFonts w:ascii="Times New Roman" w:hAnsi="Times New Roman" w:cs="Times New Roman"/>
          <w:sz w:val="20"/>
          <w:szCs w:val="20"/>
        </w:rPr>
        <w:footnoteRef/>
      </w:r>
      <w:r w:rsidRPr="00917D30">
        <w:rPr>
          <w:rFonts w:ascii="Times New Roman" w:hAnsi="Times New Roman" w:cs="Times New Roman"/>
          <w:sz w:val="20"/>
          <w:szCs w:val="20"/>
        </w:rPr>
        <w:t xml:space="preserve"> GATT, article XVI-1 </w:t>
      </w:r>
    </w:p>
  </w:footnote>
  <w:footnote w:id="159">
    <w:p w14:paraId="76C0B01D" w14:textId="6B6CE0C2" w:rsidR="00C14253" w:rsidRPr="00917D30" w:rsidRDefault="00C14253" w:rsidP="00127E1B">
      <w:pPr>
        <w:pStyle w:val="Notedebasdepage"/>
        <w:rPr>
          <w:rFonts w:ascii="Times New Roman" w:hAnsi="Times New Roman" w:cs="Times New Roman"/>
          <w:sz w:val="20"/>
          <w:szCs w:val="20"/>
          <w:lang w:val="nl-NL"/>
        </w:rPr>
      </w:pPr>
      <w:r w:rsidRPr="00917D30">
        <w:rPr>
          <w:rStyle w:val="Marquenotebasdepage"/>
          <w:rFonts w:ascii="Times New Roman" w:hAnsi="Times New Roman" w:cs="Times New Roman"/>
          <w:sz w:val="20"/>
          <w:szCs w:val="20"/>
        </w:rPr>
        <w:footnoteRef/>
      </w:r>
      <w:r w:rsidRPr="00917D30">
        <w:rPr>
          <w:rFonts w:ascii="Times New Roman" w:hAnsi="Times New Roman" w:cs="Times New Roman"/>
          <w:sz w:val="20"/>
          <w:szCs w:val="20"/>
        </w:rPr>
        <w:t xml:space="preserve"> </w:t>
      </w:r>
      <w:r w:rsidRPr="00917D30">
        <w:rPr>
          <w:rFonts w:ascii="Times New Roman" w:hAnsi="Times New Roman" w:cs="Times New Roman"/>
          <w:smallCaps/>
          <w:sz w:val="20"/>
          <w:szCs w:val="20"/>
          <w:lang w:val="nl-NL"/>
        </w:rPr>
        <w:t xml:space="preserve">M. Prost, </w:t>
      </w:r>
      <w:r w:rsidRPr="00917D30">
        <w:rPr>
          <w:rFonts w:ascii="Times New Roman" w:hAnsi="Times New Roman" w:cs="Times New Roman"/>
          <w:i/>
          <w:sz w:val="20"/>
          <w:szCs w:val="20"/>
        </w:rPr>
        <w:t>op. cit.</w:t>
      </w:r>
      <w:r w:rsidRPr="00917D30">
        <w:rPr>
          <w:rFonts w:ascii="Times New Roman" w:hAnsi="Times New Roman" w:cs="Times New Roman"/>
          <w:sz w:val="20"/>
          <w:szCs w:val="20"/>
        </w:rPr>
        <w:t>, p. 13.</w:t>
      </w:r>
    </w:p>
  </w:footnote>
  <w:footnote w:id="160">
    <w:p w14:paraId="59313CE6" w14:textId="77777777" w:rsidR="00C14253" w:rsidRPr="00570190" w:rsidRDefault="00C14253" w:rsidP="00127E1B">
      <w:pPr>
        <w:pStyle w:val="Notedebasdepage"/>
        <w:rPr>
          <w:rFonts w:ascii="Times New Roman" w:hAnsi="Times New Roman" w:cs="Times New Roman"/>
          <w:sz w:val="20"/>
          <w:szCs w:val="20"/>
          <w:lang w:val="nl-NL"/>
        </w:rPr>
      </w:pPr>
      <w:r w:rsidRPr="00917D30">
        <w:rPr>
          <w:rStyle w:val="Marquenotebasdepage"/>
          <w:rFonts w:ascii="Times New Roman" w:hAnsi="Times New Roman" w:cs="Times New Roman"/>
          <w:sz w:val="20"/>
          <w:szCs w:val="20"/>
        </w:rPr>
        <w:footnoteRef/>
      </w:r>
      <w:r w:rsidRPr="00917D30">
        <w:rPr>
          <w:rFonts w:ascii="Times New Roman" w:hAnsi="Times New Roman" w:cs="Times New Roman"/>
          <w:sz w:val="20"/>
          <w:szCs w:val="20"/>
        </w:rPr>
        <w:t xml:space="preserve"> </w:t>
      </w:r>
      <w:r w:rsidRPr="00917D30">
        <w:rPr>
          <w:rFonts w:ascii="Times New Roman" w:hAnsi="Times New Roman" w:cs="Times New Roman"/>
          <w:i/>
          <w:sz w:val="20"/>
          <w:szCs w:val="20"/>
          <w:lang w:val="nl-NL"/>
        </w:rPr>
        <w:t>Le commerce et l’environnement de l’OMC</w:t>
      </w:r>
      <w:r w:rsidRPr="00917D30">
        <w:rPr>
          <w:rFonts w:ascii="Times New Roman" w:hAnsi="Times New Roman" w:cs="Times New Roman"/>
          <w:sz w:val="20"/>
          <w:szCs w:val="20"/>
          <w:lang w:val="nl-NL"/>
        </w:rPr>
        <w:t>, Genève, OMC, 2004, p. 7.</w:t>
      </w:r>
    </w:p>
  </w:footnote>
  <w:footnote w:id="161">
    <w:p w14:paraId="50FA20D7" w14:textId="77777777"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Rapport du Comité du Commerce et de l’Environnement</w:t>
      </w:r>
      <w:r w:rsidRPr="00570190">
        <w:rPr>
          <w:rFonts w:ascii="Times New Roman" w:hAnsi="Times New Roman" w:cs="Times New Roman"/>
          <w:sz w:val="20"/>
          <w:szCs w:val="20"/>
          <w:lang w:val="nl-NL"/>
        </w:rPr>
        <w:t>, 12 novembre 1996, doc. OMC WT/CTE/1, § 182.</w:t>
      </w:r>
    </w:p>
  </w:footnote>
  <w:footnote w:id="162">
    <w:p w14:paraId="49EB3925" w14:textId="4FD58943"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smallCaps/>
          <w:sz w:val="20"/>
          <w:szCs w:val="20"/>
          <w:lang w:val="nl-NL"/>
        </w:rPr>
        <w:t xml:space="preserve">M. Prost, </w:t>
      </w:r>
      <w:r w:rsidRPr="00570190">
        <w:rPr>
          <w:rFonts w:ascii="Times New Roman" w:hAnsi="Times New Roman" w:cs="Times New Roman"/>
          <w:i/>
          <w:sz w:val="20"/>
          <w:szCs w:val="20"/>
        </w:rPr>
        <w:t>op. cit,</w:t>
      </w:r>
      <w:r w:rsidRPr="00570190">
        <w:rPr>
          <w:rFonts w:ascii="Times New Roman" w:hAnsi="Times New Roman" w:cs="Times New Roman"/>
          <w:sz w:val="20"/>
          <w:szCs w:val="20"/>
          <w:lang w:val="nl-NL"/>
        </w:rPr>
        <w:t xml:space="preserve"> p. 18.</w:t>
      </w:r>
    </w:p>
  </w:footnote>
  <w:footnote w:id="163">
    <w:p w14:paraId="152DD466" w14:textId="0FB6B11B"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xml:space="preserve">, p. 18 ; </w:t>
      </w:r>
      <w:r w:rsidRPr="00570190">
        <w:rPr>
          <w:rFonts w:ascii="Times New Roman" w:hAnsi="Times New Roman" w:cs="Times New Roman"/>
          <w:smallCaps/>
          <w:sz w:val="20"/>
          <w:szCs w:val="20"/>
        </w:rPr>
        <w:t>M. Meier</w:t>
      </w:r>
      <w:r w:rsidRPr="00570190">
        <w:rPr>
          <w:rFonts w:ascii="Times New Roman" w:hAnsi="Times New Roman" w:cs="Times New Roman"/>
          <w:sz w:val="20"/>
          <w:szCs w:val="20"/>
        </w:rPr>
        <w:t xml:space="preserve">, « GATT, WTO, and the Environment : To What Extent Do GATT/WTO Rules Permit Members Nations To Protect the Environment When Doing So Adversely Affects Trade », </w:t>
      </w:r>
      <w:r w:rsidRPr="00570190">
        <w:rPr>
          <w:rFonts w:ascii="Times New Roman" w:hAnsi="Times New Roman" w:cs="Times New Roman"/>
          <w:i/>
          <w:sz w:val="20"/>
          <w:szCs w:val="20"/>
        </w:rPr>
        <w:t>Colo. J. Int’l Envt’l L &amp; Pol’y</w:t>
      </w:r>
      <w:r w:rsidRPr="00570190">
        <w:rPr>
          <w:rFonts w:ascii="Times New Roman" w:hAnsi="Times New Roman" w:cs="Times New Roman"/>
          <w:sz w:val="20"/>
          <w:szCs w:val="20"/>
        </w:rPr>
        <w:t>, 1997, pp. 241-263.</w:t>
      </w:r>
    </w:p>
  </w:footnote>
  <w:footnote w:id="164">
    <w:p w14:paraId="5FFC1FE6" w14:textId="02666733" w:rsidR="00C14253" w:rsidRPr="00570190" w:rsidRDefault="00C14253" w:rsidP="00127E1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rPr>
        <w:t xml:space="preserve"> </w:t>
      </w:r>
      <w:r w:rsidRPr="00570190">
        <w:rPr>
          <w:rFonts w:ascii="Times New Roman" w:hAnsi="Times New Roman" w:cs="Times New Roman"/>
          <w:smallCaps/>
          <w:sz w:val="20"/>
          <w:szCs w:val="20"/>
          <w:lang w:val="nl-NL"/>
        </w:rPr>
        <w:t>M. Prost,</w:t>
      </w:r>
      <w:r w:rsidRPr="00570190">
        <w:rPr>
          <w:rFonts w:ascii="Times New Roman" w:hAnsi="Times New Roman" w:cs="Times New Roman"/>
          <w:i/>
          <w:sz w:val="20"/>
          <w:szCs w:val="20"/>
        </w:rPr>
        <w:t xml:space="preserve"> op. cit</w:t>
      </w:r>
      <w:r w:rsidRPr="00570190">
        <w:rPr>
          <w:rFonts w:ascii="Times New Roman" w:hAnsi="Times New Roman" w:cs="Times New Roman"/>
          <w:sz w:val="20"/>
          <w:szCs w:val="20"/>
          <w:lang w:val="nl-NL"/>
        </w:rPr>
        <w:t xml:space="preserve">, p. 19; </w:t>
      </w:r>
      <w:r w:rsidRPr="00570190">
        <w:rPr>
          <w:rFonts w:ascii="Times New Roman" w:hAnsi="Times New Roman" w:cs="Times New Roman"/>
          <w:smallCaps/>
          <w:sz w:val="20"/>
          <w:szCs w:val="20"/>
        </w:rPr>
        <w:t xml:space="preserve">M. Meier, </w:t>
      </w:r>
      <w:r w:rsidRPr="00570190">
        <w:rPr>
          <w:rFonts w:ascii="Times New Roman" w:hAnsi="Times New Roman" w:cs="Times New Roman"/>
          <w:i/>
          <w:sz w:val="20"/>
          <w:szCs w:val="20"/>
        </w:rPr>
        <w:t>op. cit.</w:t>
      </w:r>
      <w:r w:rsidRPr="00570190">
        <w:rPr>
          <w:rFonts w:ascii="Times New Roman" w:hAnsi="Times New Roman" w:cs="Times New Roman"/>
          <w:sz w:val="20"/>
          <w:szCs w:val="20"/>
        </w:rPr>
        <w:t>, p. 241-263.</w:t>
      </w:r>
    </w:p>
  </w:footnote>
  <w:footnote w:id="165">
    <w:p w14:paraId="306AEB34" w14:textId="7E6A3C3A" w:rsidR="00C14253" w:rsidRPr="00570190" w:rsidRDefault="00C14253" w:rsidP="00E61DAC">
      <w:pPr>
        <w:widowControl w:val="0"/>
        <w:autoSpaceDE w:val="0"/>
        <w:autoSpaceDN w:val="0"/>
        <w:adjustRightInd w:val="0"/>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rPr>
        <w:t>Pratique du GATT/de l’OMC en matière de règlement des différends se rapportant à l’article XX, paragraphes b), d) et g) du GATT</w:t>
      </w:r>
      <w:r w:rsidRPr="00570190">
        <w:rPr>
          <w:rFonts w:ascii="Times New Roman" w:hAnsi="Times New Roman" w:cs="Times New Roman"/>
          <w:sz w:val="20"/>
          <w:szCs w:val="20"/>
        </w:rPr>
        <w:t>, Comité du Commerce et de l’environnement, Note du Secrétariat, Organisation Mondiale du Commerce, WT/CTE/W/53/Rev.1., 26 octobre 1998</w:t>
      </w:r>
      <w:r w:rsidRPr="00570190">
        <w:rPr>
          <w:rFonts w:ascii="Times New Roman" w:hAnsi="Times New Roman" w:cs="Times New Roman"/>
          <w:sz w:val="20"/>
          <w:szCs w:val="20"/>
          <w:lang w:val="nl-NL"/>
        </w:rPr>
        <w:t xml:space="preserve">, p.1.; https://www.wto.org/french/tratop_f/envir_f/envt_rules_exceptions_f.tm; </w:t>
      </w:r>
    </w:p>
  </w:footnote>
  <w:footnote w:id="166">
    <w:p w14:paraId="10CDF160" w14:textId="675F805C" w:rsidR="00C14253" w:rsidRPr="00917D30" w:rsidRDefault="00C14253" w:rsidP="008953AA">
      <w:pPr>
        <w:pStyle w:val="Notedebasdepage"/>
        <w:rPr>
          <w:rFonts w:ascii="Times New Roman" w:hAnsi="Times New Roman" w:cs="Times New Roman"/>
          <w:sz w:val="20"/>
          <w:szCs w:val="20"/>
          <w:lang w:val="nl-NL"/>
        </w:rPr>
      </w:pPr>
      <w:r w:rsidRPr="00917D30">
        <w:rPr>
          <w:rStyle w:val="Marquenotebasdepage"/>
          <w:rFonts w:ascii="Times New Roman" w:hAnsi="Times New Roman" w:cs="Times New Roman"/>
          <w:sz w:val="20"/>
          <w:szCs w:val="20"/>
        </w:rPr>
        <w:footnoteRef/>
      </w:r>
      <w:r w:rsidRPr="00917D30">
        <w:rPr>
          <w:rFonts w:ascii="Times New Roman" w:hAnsi="Times New Roman" w:cs="Times New Roman"/>
          <w:sz w:val="20"/>
          <w:szCs w:val="20"/>
        </w:rPr>
        <w:t xml:space="preserve"> </w:t>
      </w:r>
      <w:r w:rsidRPr="00917D30">
        <w:rPr>
          <w:rFonts w:ascii="Times New Roman" w:hAnsi="Times New Roman" w:cs="Times New Roman"/>
          <w:sz w:val="20"/>
          <w:szCs w:val="20"/>
          <w:lang w:val="nl-NL"/>
        </w:rPr>
        <w:t>Article XX GATT, accord GATT.</w:t>
      </w:r>
    </w:p>
  </w:footnote>
  <w:footnote w:id="167">
    <w:p w14:paraId="47B1AE4A" w14:textId="7CB5E99F" w:rsidR="00C14253" w:rsidRPr="00917D30" w:rsidRDefault="00C14253" w:rsidP="008953AA">
      <w:pPr>
        <w:pStyle w:val="Notedebasdepage"/>
        <w:rPr>
          <w:rFonts w:ascii="Times New Roman" w:hAnsi="Times New Roman" w:cs="Times New Roman"/>
          <w:sz w:val="20"/>
          <w:szCs w:val="20"/>
          <w:lang w:val="nl-NL"/>
        </w:rPr>
      </w:pPr>
      <w:r w:rsidRPr="00917D30">
        <w:rPr>
          <w:rStyle w:val="Marquenotebasdepage"/>
          <w:rFonts w:ascii="Times New Roman" w:hAnsi="Times New Roman" w:cs="Times New Roman"/>
          <w:sz w:val="20"/>
          <w:szCs w:val="20"/>
        </w:rPr>
        <w:footnoteRef/>
      </w:r>
      <w:r w:rsidRPr="00917D30">
        <w:rPr>
          <w:rFonts w:ascii="Times New Roman" w:hAnsi="Times New Roman" w:cs="Times New Roman"/>
          <w:sz w:val="20"/>
          <w:szCs w:val="20"/>
        </w:rPr>
        <w:t xml:space="preserve"> </w:t>
      </w:r>
      <w:r w:rsidRPr="00917D30">
        <w:rPr>
          <w:rFonts w:ascii="Times New Roman" w:hAnsi="Times New Roman" w:cs="Times New Roman"/>
          <w:smallCaps/>
          <w:sz w:val="20"/>
          <w:szCs w:val="20"/>
        </w:rPr>
        <w:t>P. Macrory, A. Appleton, M. Plummer,</w:t>
      </w:r>
      <w:r w:rsidRPr="00917D30">
        <w:rPr>
          <w:rFonts w:ascii="Times New Roman" w:hAnsi="Times New Roman" w:cs="Times New Roman"/>
          <w:smallCaps/>
          <w:sz w:val="20"/>
          <w:szCs w:val="20"/>
          <w:lang w:val="nl-NL"/>
        </w:rPr>
        <w:t xml:space="preserve"> </w:t>
      </w:r>
      <w:r w:rsidRPr="00917D30">
        <w:rPr>
          <w:rFonts w:ascii="Times New Roman" w:hAnsi="Times New Roman" w:cs="Times New Roman"/>
          <w:i/>
          <w:sz w:val="20"/>
          <w:szCs w:val="20"/>
        </w:rPr>
        <w:t>op. cit,</w:t>
      </w:r>
      <w:r w:rsidRPr="00917D30">
        <w:rPr>
          <w:rFonts w:ascii="Times New Roman" w:hAnsi="Times New Roman" w:cs="Times New Roman"/>
          <w:sz w:val="20"/>
          <w:szCs w:val="20"/>
          <w:lang w:val="nl-NL"/>
        </w:rPr>
        <w:t>, p. 176.</w:t>
      </w:r>
    </w:p>
  </w:footnote>
  <w:footnote w:id="168">
    <w:p w14:paraId="699191EF" w14:textId="4DBFAF0B" w:rsidR="00C14253" w:rsidRPr="00917D30" w:rsidRDefault="00C14253">
      <w:pPr>
        <w:pStyle w:val="Notedebasdepage"/>
        <w:rPr>
          <w:rFonts w:ascii="Times New Roman" w:hAnsi="Times New Roman" w:cs="Times New Roman"/>
          <w:sz w:val="20"/>
          <w:szCs w:val="20"/>
          <w:lang w:val="nl-NL"/>
        </w:rPr>
      </w:pPr>
      <w:r w:rsidRPr="00917D30">
        <w:rPr>
          <w:rStyle w:val="Marquenotebasdepage"/>
          <w:rFonts w:ascii="Times New Roman" w:hAnsi="Times New Roman" w:cs="Times New Roman"/>
          <w:sz w:val="20"/>
          <w:szCs w:val="20"/>
        </w:rPr>
        <w:footnoteRef/>
      </w:r>
      <w:r w:rsidRPr="00917D30">
        <w:rPr>
          <w:rFonts w:ascii="Times New Roman" w:hAnsi="Times New Roman" w:cs="Times New Roman"/>
          <w:smallCaps/>
          <w:sz w:val="20"/>
          <w:szCs w:val="20"/>
          <w:lang w:val="nl-NL"/>
        </w:rPr>
        <w:t xml:space="preserve">  M. Prost, </w:t>
      </w:r>
      <w:r w:rsidRPr="00917D30">
        <w:rPr>
          <w:rFonts w:ascii="Times New Roman" w:hAnsi="Times New Roman" w:cs="Times New Roman"/>
          <w:i/>
          <w:sz w:val="20"/>
          <w:szCs w:val="20"/>
        </w:rPr>
        <w:t>op. cit,</w:t>
      </w:r>
      <w:r w:rsidRPr="00917D30">
        <w:rPr>
          <w:rFonts w:ascii="Times New Roman" w:hAnsi="Times New Roman" w:cs="Times New Roman"/>
          <w:sz w:val="20"/>
          <w:szCs w:val="20"/>
          <w:lang w:val="nl-NL"/>
        </w:rPr>
        <w:t>, p. 21.</w:t>
      </w:r>
    </w:p>
  </w:footnote>
  <w:footnote w:id="169">
    <w:p w14:paraId="0678327D" w14:textId="306E94F9" w:rsidR="00C14253" w:rsidRPr="00917D30" w:rsidRDefault="00C14253" w:rsidP="008953AA">
      <w:pPr>
        <w:pStyle w:val="Notedebasdepage"/>
        <w:rPr>
          <w:rFonts w:ascii="Times New Roman" w:hAnsi="Times New Roman" w:cs="Times New Roman"/>
          <w:sz w:val="20"/>
          <w:szCs w:val="20"/>
          <w:lang w:val="nl-NL"/>
        </w:rPr>
      </w:pPr>
      <w:r w:rsidRPr="00917D30">
        <w:rPr>
          <w:rStyle w:val="Marquenotebasdepage"/>
          <w:rFonts w:ascii="Times New Roman" w:hAnsi="Times New Roman" w:cs="Times New Roman"/>
          <w:sz w:val="20"/>
          <w:szCs w:val="20"/>
        </w:rPr>
        <w:footnoteRef/>
      </w:r>
      <w:r w:rsidRPr="00917D30">
        <w:rPr>
          <w:rFonts w:ascii="Times New Roman" w:hAnsi="Times New Roman" w:cs="Times New Roman"/>
          <w:sz w:val="20"/>
          <w:szCs w:val="20"/>
        </w:rPr>
        <w:t xml:space="preserve"> </w:t>
      </w:r>
      <w:r w:rsidRPr="00917D30">
        <w:rPr>
          <w:rFonts w:ascii="Times New Roman" w:hAnsi="Times New Roman" w:cs="Times New Roman"/>
          <w:sz w:val="20"/>
          <w:szCs w:val="20"/>
          <w:lang w:val="nl-NL"/>
        </w:rPr>
        <w:t xml:space="preserve"> </w:t>
      </w:r>
      <w:r w:rsidRPr="00917D30">
        <w:rPr>
          <w:rFonts w:ascii="Times New Roman" w:hAnsi="Times New Roman" w:cs="Times New Roman"/>
          <w:smallCaps/>
          <w:sz w:val="20"/>
          <w:szCs w:val="20"/>
        </w:rPr>
        <w:t xml:space="preserve">P. Macrory, A. Appleton, M. Plummer, </w:t>
      </w:r>
      <w:r w:rsidRPr="00917D30">
        <w:rPr>
          <w:rFonts w:ascii="Times New Roman" w:hAnsi="Times New Roman" w:cs="Times New Roman"/>
          <w:i/>
          <w:sz w:val="20"/>
          <w:szCs w:val="20"/>
        </w:rPr>
        <w:t>op. cit.</w:t>
      </w:r>
      <w:r w:rsidRPr="00917D30">
        <w:rPr>
          <w:rFonts w:ascii="Times New Roman" w:hAnsi="Times New Roman" w:cs="Times New Roman"/>
          <w:sz w:val="20"/>
          <w:szCs w:val="20"/>
          <w:lang w:val="nl-NL"/>
        </w:rPr>
        <w:t>, pp. 176-177;</w:t>
      </w:r>
      <w:r w:rsidRPr="00917D30">
        <w:rPr>
          <w:rFonts w:ascii="Times New Roman" w:hAnsi="Times New Roman" w:cs="Times New Roman"/>
          <w:smallCaps/>
          <w:sz w:val="20"/>
          <w:szCs w:val="20"/>
          <w:lang w:val="nl-NL"/>
        </w:rPr>
        <w:t xml:space="preserve"> M. Prost, </w:t>
      </w:r>
      <w:r w:rsidRPr="00917D30">
        <w:rPr>
          <w:rFonts w:ascii="Times New Roman" w:hAnsi="Times New Roman" w:cs="Times New Roman"/>
          <w:i/>
          <w:sz w:val="20"/>
          <w:szCs w:val="20"/>
        </w:rPr>
        <w:t>op. cit,</w:t>
      </w:r>
      <w:r w:rsidRPr="00917D30">
        <w:rPr>
          <w:rFonts w:ascii="Times New Roman" w:hAnsi="Times New Roman" w:cs="Times New Roman"/>
          <w:sz w:val="20"/>
          <w:szCs w:val="20"/>
          <w:lang w:val="nl-NL"/>
        </w:rPr>
        <w:t>, p. 21.</w:t>
      </w:r>
    </w:p>
  </w:footnote>
  <w:footnote w:id="170">
    <w:p w14:paraId="765E458F" w14:textId="5596238E" w:rsidR="00C14253" w:rsidRPr="00917D30" w:rsidRDefault="00C14253">
      <w:pPr>
        <w:pStyle w:val="Notedebasdepage"/>
        <w:rPr>
          <w:rFonts w:ascii="Times New Roman" w:hAnsi="Times New Roman" w:cs="Times New Roman"/>
          <w:sz w:val="20"/>
          <w:szCs w:val="20"/>
          <w:lang w:val="nl-NL"/>
        </w:rPr>
      </w:pPr>
      <w:r w:rsidRPr="00917D30">
        <w:rPr>
          <w:rStyle w:val="Marquenotebasdepage"/>
          <w:rFonts w:ascii="Times New Roman" w:hAnsi="Times New Roman" w:cs="Times New Roman"/>
          <w:sz w:val="20"/>
          <w:szCs w:val="20"/>
        </w:rPr>
        <w:footnoteRef/>
      </w:r>
      <w:r w:rsidRPr="00917D30">
        <w:rPr>
          <w:rFonts w:ascii="Times New Roman" w:hAnsi="Times New Roman" w:cs="Times New Roman"/>
          <w:smallCaps/>
          <w:sz w:val="20"/>
          <w:szCs w:val="20"/>
          <w:lang w:val="nl-NL"/>
        </w:rPr>
        <w:t xml:space="preserve"> M. Prost,</w:t>
      </w:r>
      <w:r w:rsidRPr="00917D30">
        <w:rPr>
          <w:rFonts w:ascii="Times New Roman" w:hAnsi="Times New Roman" w:cs="Times New Roman"/>
          <w:sz w:val="20"/>
          <w:szCs w:val="20"/>
          <w:lang w:val="nl-NL"/>
        </w:rPr>
        <w:t xml:space="preserve"> </w:t>
      </w:r>
      <w:r w:rsidRPr="00917D30">
        <w:rPr>
          <w:rFonts w:ascii="Times New Roman" w:hAnsi="Times New Roman" w:cs="Times New Roman"/>
          <w:i/>
          <w:sz w:val="20"/>
          <w:szCs w:val="20"/>
          <w:lang w:val="nl-NL"/>
        </w:rPr>
        <w:t>op. cit.</w:t>
      </w:r>
      <w:r w:rsidRPr="00917D30">
        <w:rPr>
          <w:rFonts w:ascii="Times New Roman" w:hAnsi="Times New Roman" w:cs="Times New Roman"/>
          <w:sz w:val="20"/>
          <w:szCs w:val="20"/>
          <w:lang w:val="nl-NL"/>
        </w:rPr>
        <w:t>, p. 21.</w:t>
      </w:r>
    </w:p>
  </w:footnote>
  <w:footnote w:id="171">
    <w:p w14:paraId="3EA8F801" w14:textId="46361232" w:rsidR="00C14253" w:rsidRPr="00917D30" w:rsidRDefault="00C14253" w:rsidP="00A23593">
      <w:pPr>
        <w:widowControl w:val="0"/>
        <w:autoSpaceDE w:val="0"/>
        <w:autoSpaceDN w:val="0"/>
        <w:adjustRightInd w:val="0"/>
        <w:jc w:val="both"/>
        <w:rPr>
          <w:rFonts w:ascii="Times New Roman" w:hAnsi="Times New Roman" w:cs="Times New Roman"/>
          <w:sz w:val="20"/>
          <w:szCs w:val="20"/>
        </w:rPr>
      </w:pPr>
      <w:r w:rsidRPr="00917D30">
        <w:rPr>
          <w:rStyle w:val="Marquenotebasdepage"/>
          <w:rFonts w:ascii="Times New Roman" w:hAnsi="Times New Roman" w:cs="Times New Roman"/>
          <w:sz w:val="20"/>
          <w:szCs w:val="20"/>
        </w:rPr>
        <w:footnoteRef/>
      </w:r>
      <w:r w:rsidRPr="00917D30">
        <w:rPr>
          <w:rFonts w:ascii="Times New Roman" w:hAnsi="Times New Roman" w:cs="Times New Roman"/>
          <w:sz w:val="20"/>
          <w:szCs w:val="20"/>
          <w:lang w:val="nl-NL"/>
        </w:rPr>
        <w:t xml:space="preserve"> </w:t>
      </w:r>
      <w:r w:rsidRPr="00917D30">
        <w:rPr>
          <w:rFonts w:ascii="Times New Roman" w:hAnsi="Times New Roman" w:cs="Times New Roman"/>
          <w:i/>
          <w:sz w:val="20"/>
          <w:szCs w:val="20"/>
          <w:lang w:val="nl-NL"/>
        </w:rPr>
        <w:t>Ibid.</w:t>
      </w:r>
      <w:r w:rsidRPr="00917D30">
        <w:rPr>
          <w:rFonts w:ascii="Times New Roman" w:hAnsi="Times New Roman" w:cs="Times New Roman"/>
          <w:sz w:val="20"/>
          <w:szCs w:val="20"/>
          <w:lang w:val="nl-NL"/>
        </w:rPr>
        <w:t xml:space="preserve">, p. 21; </w:t>
      </w:r>
      <w:r w:rsidRPr="00917D30">
        <w:rPr>
          <w:rFonts w:ascii="Times New Roman" w:hAnsi="Times New Roman" w:cs="Times New Roman"/>
          <w:smallCaps/>
          <w:sz w:val="20"/>
          <w:szCs w:val="20"/>
          <w:lang w:val="nl-NL"/>
        </w:rPr>
        <w:t xml:space="preserve">G. </w:t>
      </w:r>
      <w:r w:rsidRPr="00917D30">
        <w:rPr>
          <w:rFonts w:ascii="Times New Roman" w:hAnsi="Times New Roman" w:cs="Times New Roman"/>
          <w:smallCaps/>
          <w:sz w:val="20"/>
          <w:szCs w:val="20"/>
        </w:rPr>
        <w:t>Van Calster</w:t>
      </w:r>
      <w:r w:rsidRPr="00917D30">
        <w:rPr>
          <w:rFonts w:ascii="Times New Roman" w:hAnsi="Times New Roman" w:cs="Times New Roman"/>
          <w:sz w:val="20"/>
          <w:szCs w:val="20"/>
        </w:rPr>
        <w:t xml:space="preserve">, </w:t>
      </w:r>
      <w:r w:rsidRPr="00917D30">
        <w:rPr>
          <w:rFonts w:ascii="Times New Roman" w:hAnsi="Times New Roman" w:cs="Times New Roman"/>
          <w:i/>
          <w:sz w:val="20"/>
          <w:szCs w:val="20"/>
        </w:rPr>
        <w:t>International and EU Trade Law : The environmental Challenge</w:t>
      </w:r>
      <w:r w:rsidRPr="00917D30">
        <w:rPr>
          <w:rFonts w:ascii="Times New Roman" w:hAnsi="Times New Roman" w:cs="Times New Roman"/>
          <w:sz w:val="20"/>
          <w:szCs w:val="20"/>
        </w:rPr>
        <w:t>, International Law and Policy, London, Cameron May, 2000, p. 72.</w:t>
      </w:r>
    </w:p>
  </w:footnote>
  <w:footnote w:id="172">
    <w:p w14:paraId="4C35A493" w14:textId="082211AD" w:rsidR="00C14253" w:rsidRPr="00917D30" w:rsidRDefault="00C14253" w:rsidP="008953AA">
      <w:pPr>
        <w:pStyle w:val="Notedebasdepage"/>
        <w:rPr>
          <w:rFonts w:ascii="Times New Roman" w:hAnsi="Times New Roman" w:cs="Times New Roman"/>
          <w:sz w:val="20"/>
          <w:szCs w:val="20"/>
          <w:lang w:val="nl-NL"/>
        </w:rPr>
      </w:pPr>
      <w:r w:rsidRPr="00917D30">
        <w:rPr>
          <w:rStyle w:val="Marquenotebasdepage"/>
          <w:rFonts w:ascii="Times New Roman" w:hAnsi="Times New Roman" w:cs="Times New Roman"/>
          <w:sz w:val="20"/>
          <w:szCs w:val="20"/>
        </w:rPr>
        <w:footnoteRef/>
      </w:r>
      <w:r w:rsidRPr="00917D30">
        <w:rPr>
          <w:rFonts w:ascii="Times New Roman" w:hAnsi="Times New Roman" w:cs="Times New Roman"/>
          <w:sz w:val="20"/>
          <w:szCs w:val="20"/>
        </w:rPr>
        <w:t xml:space="preserve"> </w:t>
      </w:r>
      <w:hyperlink r:id="rId5" w:history="1">
        <w:r w:rsidRPr="00917D30">
          <w:rPr>
            <w:rStyle w:val="Lienhypertexte"/>
            <w:rFonts w:ascii="Times New Roman" w:hAnsi="Times New Roman" w:cs="Times New Roman"/>
            <w:color w:val="auto"/>
            <w:sz w:val="20"/>
            <w:szCs w:val="20"/>
            <w:u w:val="none"/>
          </w:rPr>
          <w:t>https://www.wto.org/french/tratoP_f/envir_f/envt_rules_exceptions_f.hGm</w:t>
        </w:r>
      </w:hyperlink>
      <w:r w:rsidRPr="00917D30">
        <w:rPr>
          <w:rFonts w:ascii="Times New Roman" w:hAnsi="Times New Roman" w:cs="Times New Roman"/>
          <w:sz w:val="20"/>
          <w:szCs w:val="20"/>
        </w:rPr>
        <w:t>;</w:t>
      </w:r>
      <w:r w:rsidRPr="00917D30">
        <w:rPr>
          <w:rFonts w:ascii="Times New Roman" w:hAnsi="Times New Roman" w:cs="Times New Roman"/>
          <w:sz w:val="20"/>
          <w:szCs w:val="20"/>
          <w:lang w:val="nl-NL"/>
        </w:rPr>
        <w:t xml:space="preserve"> </w:t>
      </w:r>
      <w:r w:rsidRPr="00917D30">
        <w:rPr>
          <w:rFonts w:ascii="Times New Roman" w:hAnsi="Times New Roman" w:cs="Times New Roman"/>
          <w:smallCaps/>
          <w:sz w:val="20"/>
          <w:szCs w:val="20"/>
          <w:lang w:val="nl-NL"/>
        </w:rPr>
        <w:t xml:space="preserve">M. Prost, </w:t>
      </w:r>
      <w:r w:rsidRPr="00917D30">
        <w:rPr>
          <w:rFonts w:ascii="Times New Roman" w:hAnsi="Times New Roman" w:cs="Times New Roman"/>
          <w:i/>
          <w:sz w:val="20"/>
          <w:szCs w:val="20"/>
        </w:rPr>
        <w:t>op. cit,</w:t>
      </w:r>
      <w:r w:rsidRPr="00917D30">
        <w:rPr>
          <w:rFonts w:ascii="Times New Roman" w:hAnsi="Times New Roman" w:cs="Times New Roman"/>
          <w:sz w:val="20"/>
          <w:szCs w:val="20"/>
          <w:lang w:val="nl-NL"/>
        </w:rPr>
        <w:t>, p. 21.</w:t>
      </w:r>
    </w:p>
  </w:footnote>
  <w:footnote w:id="173">
    <w:p w14:paraId="20973137" w14:textId="77777777" w:rsidR="00C14253" w:rsidRPr="00570190" w:rsidRDefault="00C14253" w:rsidP="00675E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"États-Unis - Normes concernant l'essence nouvelle et ancienne formules", rapport de l'Organe d'appel et rapport du Groupe spécial, adoptés le 20 mai 1996, WT/DS2/9 (ci-après dénommé </w:t>
      </w:r>
      <w:r w:rsidRPr="00570190">
        <w:rPr>
          <w:rFonts w:ascii="Times New Roman" w:hAnsi="Times New Roman" w:cs="Times New Roman"/>
          <w:i/>
          <w:sz w:val="20"/>
          <w:szCs w:val="20"/>
        </w:rPr>
        <w:t>Essence</w:t>
      </w:r>
      <w:r w:rsidRPr="00570190">
        <w:rPr>
          <w:rFonts w:ascii="Times New Roman" w:hAnsi="Times New Roman" w:cs="Times New Roman"/>
          <w:sz w:val="20"/>
          <w:szCs w:val="20"/>
        </w:rPr>
        <w:t>). Dans les faits, …</w:t>
      </w:r>
    </w:p>
  </w:footnote>
  <w:footnote w:id="174">
    <w:p w14:paraId="6347DE13" w14:textId="6AE329B2" w:rsidR="00C14253" w:rsidRPr="00570190" w:rsidRDefault="00C14253" w:rsidP="00675E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Essence</w:t>
      </w:r>
      <w:r w:rsidRPr="00570190">
        <w:rPr>
          <w:rFonts w:ascii="Times New Roman" w:hAnsi="Times New Roman" w:cs="Times New Roman"/>
          <w:sz w:val="20"/>
          <w:szCs w:val="20"/>
          <w:lang w:val="nl-NL"/>
        </w:rPr>
        <w:t>, rapport du Groupe spécial, § 7.1 ; ”Pratique du GATT/de l’OMC”,  p. 3.</w:t>
      </w:r>
    </w:p>
  </w:footnote>
  <w:footnote w:id="175">
    <w:p w14:paraId="571F6999" w14:textId="77777777" w:rsidR="00C14253" w:rsidRPr="00570190" w:rsidRDefault="00C14253" w:rsidP="00675E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"Canada - Mesures affectant l'exportation de harengs et de saumons non préparés", rapport adopté le 22 mars 1988, </w:t>
      </w:r>
      <w:r w:rsidRPr="00570190">
        <w:rPr>
          <w:rFonts w:ascii="Times New Roman" w:hAnsi="Times New Roman" w:cs="Times New Roman"/>
          <w:i/>
          <w:sz w:val="20"/>
          <w:szCs w:val="20"/>
        </w:rPr>
        <w:t>IBDD</w:t>
      </w:r>
      <w:r w:rsidRPr="00570190">
        <w:rPr>
          <w:rFonts w:ascii="Times New Roman" w:hAnsi="Times New Roman" w:cs="Times New Roman"/>
          <w:sz w:val="20"/>
          <w:szCs w:val="20"/>
        </w:rPr>
        <w:t xml:space="preserve">, S35/106 (ci-après dénommé </w:t>
      </w:r>
      <w:r w:rsidRPr="00570190">
        <w:rPr>
          <w:rFonts w:ascii="Times New Roman" w:hAnsi="Times New Roman" w:cs="Times New Roman"/>
          <w:i/>
          <w:sz w:val="20"/>
          <w:szCs w:val="20"/>
        </w:rPr>
        <w:t>Saumons/Harengs</w:t>
      </w:r>
      <w:r w:rsidRPr="00570190">
        <w:rPr>
          <w:rFonts w:ascii="Times New Roman" w:hAnsi="Times New Roman" w:cs="Times New Roman"/>
          <w:sz w:val="20"/>
          <w:szCs w:val="20"/>
        </w:rPr>
        <w:t>).</w:t>
      </w:r>
    </w:p>
  </w:footnote>
  <w:footnote w:id="176">
    <w:p w14:paraId="6B230598" w14:textId="4DBC04E2" w:rsidR="00C14253" w:rsidRPr="00570190" w:rsidRDefault="00C14253" w:rsidP="00675E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"États-Unis - Prohibition à l'importation de certaines crevettes et de certains produits à base de crevettes", rapport du Groupe spécial, WT/DS58/R, distribué le 15 mai 1998, et rapport de l'Organe d'appel, WT/DS58/AB/R, distribué le 12 octobre 1998 (ci-après dénommé </w:t>
      </w:r>
      <w:r w:rsidRPr="00570190">
        <w:rPr>
          <w:rFonts w:ascii="Times New Roman" w:hAnsi="Times New Roman" w:cs="Times New Roman"/>
          <w:i/>
          <w:sz w:val="20"/>
          <w:szCs w:val="20"/>
        </w:rPr>
        <w:t>Crevettes)</w:t>
      </w:r>
      <w:r w:rsidRPr="00570190">
        <w:rPr>
          <w:rFonts w:ascii="Times New Roman" w:hAnsi="Times New Roman" w:cs="Times New Roman"/>
          <w:sz w:val="20"/>
          <w:szCs w:val="20"/>
        </w:rPr>
        <w:t>.</w:t>
      </w:r>
    </w:p>
  </w:footnote>
  <w:footnote w:id="177">
    <w:p w14:paraId="399A9174" w14:textId="77777777" w:rsidR="00C14253" w:rsidRPr="00570190" w:rsidRDefault="00C14253" w:rsidP="00675E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 Etats-Unis – Restrictions à l’importation de thon », rapport distribué le 3 septembre 1991, non adopté, IBDD, S39/174 (ci-après dénommé </w:t>
      </w:r>
      <w:r w:rsidRPr="00570190">
        <w:rPr>
          <w:rFonts w:ascii="Times New Roman" w:hAnsi="Times New Roman" w:cs="Times New Roman"/>
          <w:i/>
          <w:sz w:val="20"/>
          <w:szCs w:val="20"/>
        </w:rPr>
        <w:t>Thon I</w:t>
      </w:r>
      <w:r w:rsidRPr="00570190">
        <w:rPr>
          <w:rFonts w:ascii="Times New Roman" w:hAnsi="Times New Roman" w:cs="Times New Roman"/>
          <w:sz w:val="20"/>
          <w:szCs w:val="20"/>
        </w:rPr>
        <w:t>).</w:t>
      </w:r>
    </w:p>
  </w:footnote>
  <w:footnote w:id="178">
    <w:p w14:paraId="79CAE515" w14:textId="77777777" w:rsidR="00C14253" w:rsidRPr="00570190" w:rsidRDefault="00C14253" w:rsidP="00675E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 Etats-Unis – Restrictions à l’importation de thon », rapport distribué le 16 juin 1994, non adopté, DS29/R (ci-après dénommé </w:t>
      </w:r>
      <w:r w:rsidRPr="00570190">
        <w:rPr>
          <w:rFonts w:ascii="Times New Roman" w:hAnsi="Times New Roman" w:cs="Times New Roman"/>
          <w:i/>
          <w:sz w:val="20"/>
          <w:szCs w:val="20"/>
        </w:rPr>
        <w:t>Thon II</w:t>
      </w:r>
      <w:r w:rsidRPr="00570190">
        <w:rPr>
          <w:rFonts w:ascii="Times New Roman" w:hAnsi="Times New Roman" w:cs="Times New Roman"/>
          <w:sz w:val="20"/>
          <w:szCs w:val="20"/>
        </w:rPr>
        <w:t>).</w:t>
      </w:r>
    </w:p>
  </w:footnote>
  <w:footnote w:id="179">
    <w:p w14:paraId="77C33D94" w14:textId="20C11DB9" w:rsidR="00C14253" w:rsidRPr="00570190" w:rsidRDefault="00C14253" w:rsidP="00675EE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Essence</w:t>
      </w:r>
      <w:r w:rsidRPr="00570190">
        <w:rPr>
          <w:rFonts w:ascii="Times New Roman" w:hAnsi="Times New Roman" w:cs="Times New Roman"/>
          <w:sz w:val="20"/>
          <w:szCs w:val="20"/>
          <w:lang w:val="nl-NL"/>
        </w:rPr>
        <w:t xml:space="preserve">, rapport du Groupe spécial, § 7.1. ; </w:t>
      </w:r>
      <w:r w:rsidRPr="00570190">
        <w:rPr>
          <w:rFonts w:ascii="Times New Roman" w:hAnsi="Times New Roman" w:cs="Times New Roman"/>
          <w:i/>
          <w:sz w:val="20"/>
          <w:szCs w:val="20"/>
          <w:lang w:val="nl-NL"/>
        </w:rPr>
        <w:t>Saumons/Harengs</w:t>
      </w:r>
      <w:r w:rsidRPr="00570190">
        <w:rPr>
          <w:rFonts w:ascii="Times New Roman" w:hAnsi="Times New Roman" w:cs="Times New Roman"/>
          <w:sz w:val="20"/>
          <w:szCs w:val="20"/>
          <w:lang w:val="nl-NL"/>
        </w:rPr>
        <w:t xml:space="preserve">, rapport du Groupe spécial </w:t>
      </w:r>
      <w:r w:rsidRPr="00570190">
        <w:rPr>
          <w:rFonts w:ascii="Times New Roman" w:hAnsi="Times New Roman" w:cs="Times New Roman"/>
          <w:sz w:val="20"/>
          <w:szCs w:val="20"/>
        </w:rPr>
        <w:t xml:space="preserve">§ 4.6. ; </w:t>
      </w:r>
      <w:r w:rsidRPr="00570190">
        <w:rPr>
          <w:rFonts w:ascii="Times New Roman" w:hAnsi="Times New Roman" w:cs="Times New Roman"/>
          <w:i/>
          <w:sz w:val="20"/>
          <w:szCs w:val="20"/>
        </w:rPr>
        <w:t>Crevettes</w:t>
      </w:r>
      <w:r w:rsidRPr="00570190">
        <w:rPr>
          <w:rFonts w:ascii="Times New Roman" w:hAnsi="Times New Roman" w:cs="Times New Roman"/>
          <w:sz w:val="20"/>
          <w:szCs w:val="20"/>
        </w:rPr>
        <w:t xml:space="preserve">, rapport de l’Organe d’appel, §§185 et 186 ; </w:t>
      </w:r>
      <w:r w:rsidRPr="00570190">
        <w:rPr>
          <w:rFonts w:ascii="Times New Roman" w:hAnsi="Times New Roman" w:cs="Times New Roman"/>
          <w:i/>
          <w:sz w:val="20"/>
          <w:szCs w:val="20"/>
        </w:rPr>
        <w:t>Thon I</w:t>
      </w:r>
      <w:r w:rsidRPr="00570190">
        <w:rPr>
          <w:rFonts w:ascii="Times New Roman" w:hAnsi="Times New Roman" w:cs="Times New Roman"/>
          <w:sz w:val="20"/>
          <w:szCs w:val="20"/>
        </w:rPr>
        <w:t xml:space="preserve">, rapport du Groupe spécial, §§ 6.1 à 6.4. ; </w:t>
      </w:r>
      <w:r w:rsidRPr="00570190">
        <w:rPr>
          <w:rFonts w:ascii="Times New Roman" w:hAnsi="Times New Roman" w:cs="Times New Roman"/>
          <w:i/>
          <w:sz w:val="20"/>
          <w:szCs w:val="20"/>
        </w:rPr>
        <w:t>Thon II</w:t>
      </w:r>
      <w:r w:rsidRPr="00570190">
        <w:rPr>
          <w:rFonts w:ascii="Times New Roman" w:hAnsi="Times New Roman" w:cs="Times New Roman"/>
          <w:sz w:val="20"/>
          <w:szCs w:val="20"/>
        </w:rPr>
        <w:t>, rapport du Groupe spécial, §§ 5.42 à 5.43.</w:t>
      </w:r>
    </w:p>
  </w:footnote>
  <w:footnote w:id="180">
    <w:p w14:paraId="4AC09398" w14:textId="2364ED9E" w:rsidR="00C14253" w:rsidRPr="00570190" w:rsidRDefault="00C14253" w:rsidP="0052410F">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"États-Unis - Restrictions à l'importation de thon", rapport distribué le 3 septembre 1991, non adopté, </w:t>
      </w:r>
      <w:r w:rsidRPr="00570190">
        <w:rPr>
          <w:rFonts w:ascii="Times New Roman" w:hAnsi="Times New Roman" w:cs="Times New Roman"/>
          <w:i/>
          <w:sz w:val="20"/>
          <w:szCs w:val="20"/>
        </w:rPr>
        <w:t>IBDD</w:t>
      </w:r>
      <w:r w:rsidRPr="00570190">
        <w:rPr>
          <w:rFonts w:ascii="Times New Roman" w:hAnsi="Times New Roman" w:cs="Times New Roman"/>
          <w:sz w:val="20"/>
          <w:szCs w:val="20"/>
        </w:rPr>
        <w:t xml:space="preserve">, S39/174 (ci-après dénommé </w:t>
      </w:r>
      <w:r w:rsidRPr="00570190">
        <w:rPr>
          <w:rFonts w:ascii="Times New Roman" w:hAnsi="Times New Roman" w:cs="Times New Roman"/>
          <w:i/>
          <w:sz w:val="20"/>
          <w:szCs w:val="20"/>
        </w:rPr>
        <w:t>Thon I).</w:t>
      </w:r>
    </w:p>
  </w:footnote>
  <w:footnote w:id="181">
    <w:p w14:paraId="58EAFE77" w14:textId="15F0E033" w:rsidR="00C14253" w:rsidRPr="00570190" w:rsidRDefault="00C14253" w:rsidP="00B8236D">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Thon I</w:t>
      </w:r>
      <w:r w:rsidRPr="00570190">
        <w:rPr>
          <w:rFonts w:ascii="Times New Roman" w:hAnsi="Times New Roman" w:cs="Times New Roman"/>
          <w:sz w:val="20"/>
          <w:szCs w:val="20"/>
          <w:lang w:val="nl-NL"/>
        </w:rPr>
        <w:t xml:space="preserve">, rapport du Groupe spécial, § 5.22 ; </w:t>
      </w:r>
      <w:r w:rsidRPr="00570190">
        <w:rPr>
          <w:rFonts w:ascii="Times New Roman" w:hAnsi="Times New Roman" w:cs="Times New Roman"/>
          <w:i/>
          <w:sz w:val="20"/>
          <w:szCs w:val="20"/>
          <w:lang w:val="nl-NL"/>
        </w:rPr>
        <w:t>Crevettes</w:t>
      </w:r>
      <w:r w:rsidRPr="00570190">
        <w:rPr>
          <w:rFonts w:ascii="Times New Roman" w:hAnsi="Times New Roman" w:cs="Times New Roman"/>
          <w:sz w:val="20"/>
          <w:szCs w:val="20"/>
          <w:lang w:val="nl-NL"/>
        </w:rPr>
        <w:t xml:space="preserve">, rapport de l’Organe d’appel, § 157; ”Pratique du GATT/de l’OMC”, p. 2. ; P. </w:t>
      </w:r>
      <w:r w:rsidRPr="00570190">
        <w:rPr>
          <w:rFonts w:ascii="Times New Roman" w:hAnsi="Times New Roman" w:cs="Times New Roman"/>
          <w:smallCaps/>
          <w:sz w:val="20"/>
          <w:szCs w:val="20"/>
        </w:rPr>
        <w:t>Van den Bossche</w:t>
      </w:r>
      <w:r w:rsidRPr="00570190">
        <w:rPr>
          <w:rFonts w:ascii="Times New Roman" w:hAnsi="Times New Roman" w:cs="Times New Roman"/>
          <w:sz w:val="20"/>
          <w:szCs w:val="20"/>
        </w:rPr>
        <w:t xml:space="preserve">, W. </w:t>
      </w:r>
      <w:r w:rsidRPr="00570190">
        <w:rPr>
          <w:rFonts w:ascii="Times New Roman" w:hAnsi="Times New Roman" w:cs="Times New Roman"/>
          <w:smallCaps/>
          <w:sz w:val="20"/>
          <w:szCs w:val="20"/>
        </w:rPr>
        <w:t>Zdouc</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The Law and Policy of the World Trade Organization</w:t>
      </w:r>
      <w:r w:rsidRPr="00570190">
        <w:rPr>
          <w:rFonts w:ascii="Times New Roman" w:hAnsi="Times New Roman" w:cs="Times New Roman"/>
          <w:sz w:val="20"/>
          <w:szCs w:val="20"/>
        </w:rPr>
        <w:t>, 3</w:t>
      </w:r>
      <w:r w:rsidRPr="00570190">
        <w:rPr>
          <w:rFonts w:ascii="Times New Roman" w:hAnsi="Times New Roman" w:cs="Times New Roman"/>
          <w:sz w:val="20"/>
          <w:szCs w:val="20"/>
          <w:vertAlign w:val="superscript"/>
        </w:rPr>
        <w:t>e</w:t>
      </w:r>
      <w:r w:rsidRPr="00570190">
        <w:rPr>
          <w:rFonts w:ascii="Times New Roman" w:hAnsi="Times New Roman" w:cs="Times New Roman"/>
          <w:sz w:val="20"/>
          <w:szCs w:val="20"/>
        </w:rPr>
        <w:t>edition, Cambridge, Cambridge Press University, 2003, p. 547</w:t>
      </w:r>
      <w:r w:rsidRPr="00570190">
        <w:rPr>
          <w:rFonts w:ascii="Times New Roman" w:hAnsi="Times New Roman" w:cs="Times New Roman"/>
          <w:sz w:val="20"/>
          <w:szCs w:val="20"/>
          <w:lang w:val="nl-NL"/>
        </w:rPr>
        <w:t xml:space="preserve">; </w:t>
      </w:r>
      <w:r w:rsidRPr="00570190">
        <w:rPr>
          <w:rFonts w:ascii="Times New Roman" w:hAnsi="Times New Roman" w:cs="Times New Roman"/>
          <w:smallCaps/>
          <w:sz w:val="20"/>
          <w:szCs w:val="20"/>
          <w:lang w:val="nl-NL"/>
        </w:rPr>
        <w:t xml:space="preserve">G. </w:t>
      </w:r>
      <w:r w:rsidRPr="00570190">
        <w:rPr>
          <w:rFonts w:ascii="Times New Roman" w:hAnsi="Times New Roman" w:cs="Times New Roman"/>
          <w:smallCaps/>
          <w:sz w:val="20"/>
          <w:szCs w:val="20"/>
        </w:rPr>
        <w:t>Van Calster</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International and EU Trade Law : The environmental Challenge, International Law and Policy</w:t>
      </w:r>
      <w:r w:rsidRPr="00570190">
        <w:rPr>
          <w:rFonts w:ascii="Times New Roman" w:hAnsi="Times New Roman" w:cs="Times New Roman"/>
          <w:sz w:val="20"/>
          <w:szCs w:val="20"/>
        </w:rPr>
        <w:t xml:space="preserve">, London, Cameron May, 2000, pp. 74-75 ; </w:t>
      </w:r>
      <w:r w:rsidRPr="00570190">
        <w:rPr>
          <w:rFonts w:ascii="Times New Roman" w:hAnsi="Times New Roman" w:cs="Times New Roman"/>
          <w:sz w:val="20"/>
          <w:szCs w:val="20"/>
          <w:lang w:val="nl-NL"/>
        </w:rPr>
        <w:t xml:space="preserve">B. </w:t>
      </w:r>
      <w:r w:rsidRPr="00570190">
        <w:rPr>
          <w:rFonts w:ascii="Times New Roman" w:hAnsi="Times New Roman" w:cs="Times New Roman"/>
          <w:smallCaps/>
          <w:sz w:val="20"/>
          <w:szCs w:val="20"/>
        </w:rPr>
        <w:t>Stern, H. Ruiz Fabri, H.</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The Case-Law of the WTO, La jurisprudence de l’OMC, 1996-1997</w:t>
      </w:r>
      <w:r w:rsidRPr="00570190">
        <w:rPr>
          <w:rFonts w:ascii="Times New Roman" w:hAnsi="Times New Roman" w:cs="Times New Roman"/>
          <w:sz w:val="20"/>
          <w:szCs w:val="20"/>
        </w:rPr>
        <w:t>, p. 104.</w:t>
      </w:r>
    </w:p>
  </w:footnote>
  <w:footnote w:id="182">
    <w:p w14:paraId="4A3109AD" w14:textId="77777777" w:rsidR="00C14253" w:rsidRPr="00570190" w:rsidRDefault="00C14253" w:rsidP="0052410F">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Thon I</w:t>
      </w:r>
      <w:r w:rsidRPr="00570190">
        <w:rPr>
          <w:rFonts w:ascii="Times New Roman" w:hAnsi="Times New Roman" w:cs="Times New Roman"/>
          <w:sz w:val="20"/>
          <w:szCs w:val="20"/>
          <w:lang w:val="nl-NL"/>
        </w:rPr>
        <w:t>, rapport du Groupe spécial, § 5.22.</w:t>
      </w:r>
    </w:p>
  </w:footnote>
  <w:footnote w:id="183">
    <w:p w14:paraId="1305C597" w14:textId="6A0EF34F"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P. </w:t>
      </w:r>
      <w:r w:rsidRPr="00570190">
        <w:rPr>
          <w:rFonts w:ascii="Times New Roman" w:hAnsi="Times New Roman" w:cs="Times New Roman"/>
          <w:smallCaps/>
          <w:sz w:val="20"/>
          <w:szCs w:val="20"/>
        </w:rPr>
        <w:t>Van den Bossche</w:t>
      </w:r>
      <w:r w:rsidRPr="00570190">
        <w:rPr>
          <w:rFonts w:ascii="Times New Roman" w:hAnsi="Times New Roman" w:cs="Times New Roman"/>
          <w:sz w:val="20"/>
          <w:szCs w:val="20"/>
        </w:rPr>
        <w:t xml:space="preserve">, W. </w:t>
      </w:r>
      <w:r w:rsidRPr="00570190">
        <w:rPr>
          <w:rFonts w:ascii="Times New Roman" w:hAnsi="Times New Roman" w:cs="Times New Roman"/>
          <w:smallCaps/>
          <w:sz w:val="20"/>
          <w:szCs w:val="20"/>
        </w:rPr>
        <w:t>Zdouc</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548.</w:t>
      </w:r>
    </w:p>
  </w:footnote>
  <w:footnote w:id="184">
    <w:p w14:paraId="564D01A5" w14:textId="77777777" w:rsidR="00C14253" w:rsidRPr="00570190" w:rsidRDefault="00C14253" w:rsidP="0052410F">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"États-Unis -Restrictions à l'importation de thon", rapport distribué le 16 juin 1994, non adopté, DS29/R (ci-après dénommé </w:t>
      </w:r>
      <w:r w:rsidRPr="00570190">
        <w:rPr>
          <w:rFonts w:ascii="Times New Roman" w:hAnsi="Times New Roman" w:cs="Times New Roman"/>
          <w:i/>
          <w:sz w:val="20"/>
          <w:szCs w:val="20"/>
        </w:rPr>
        <w:t>Thon II</w:t>
      </w:r>
      <w:r w:rsidRPr="00570190">
        <w:rPr>
          <w:rFonts w:ascii="Times New Roman" w:hAnsi="Times New Roman" w:cs="Times New Roman"/>
          <w:sz w:val="20"/>
          <w:szCs w:val="20"/>
        </w:rPr>
        <w:t xml:space="preserve">), </w:t>
      </w:r>
    </w:p>
  </w:footnote>
  <w:footnote w:id="185">
    <w:p w14:paraId="4CAD5E27" w14:textId="193B2CC9"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Thon II</w:t>
      </w:r>
      <w:r w:rsidRPr="00570190">
        <w:rPr>
          <w:rFonts w:ascii="Times New Roman" w:hAnsi="Times New Roman" w:cs="Times New Roman"/>
          <w:sz w:val="20"/>
          <w:szCs w:val="20"/>
        </w:rPr>
        <w:t xml:space="preserve">, rapport du Groupe spécial, §§ 5.26 et 5.38. </w:t>
      </w:r>
    </w:p>
  </w:footnote>
  <w:footnote w:id="186">
    <w:p w14:paraId="3E87A3F9" w14:textId="77777777" w:rsidR="00C14253" w:rsidRPr="00570190" w:rsidRDefault="00C14253" w:rsidP="00CD6275">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Essence,</w:t>
      </w:r>
      <w:r w:rsidRPr="00570190">
        <w:rPr>
          <w:rFonts w:ascii="Times New Roman" w:hAnsi="Times New Roman" w:cs="Times New Roman"/>
          <w:sz w:val="20"/>
          <w:szCs w:val="20"/>
          <w:lang w:val="nl-NL"/>
        </w:rPr>
        <w:t xml:space="preserve"> rapport du Groupe spécial, §§ 6.20, 6.31 et 6.35: ”il incombait aux Etats-Unis, en tant que partie invoquant une exception, de prouver que les mesures incompatibles relevaient du champ d’applicatin de cette exception”.</w:t>
      </w:r>
    </w:p>
  </w:footnote>
  <w:footnote w:id="187">
    <w:p w14:paraId="74AA4BB7" w14:textId="77777777" w:rsidR="00C14253" w:rsidRPr="00570190" w:rsidRDefault="00C14253" w:rsidP="00CD6275">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article XX du GATT</w:t>
      </w:r>
    </w:p>
  </w:footnote>
  <w:footnote w:id="188">
    <w:p w14:paraId="7745ACBB" w14:textId="71B866AE"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”Pratique du GATT/de l’OMC”,  </w:t>
      </w:r>
      <w:r w:rsidRPr="00570190">
        <w:rPr>
          <w:rFonts w:ascii="Times New Roman" w:hAnsi="Times New Roman" w:cs="Times New Roman"/>
          <w:sz w:val="20"/>
          <w:szCs w:val="20"/>
        </w:rPr>
        <w:t>p. 3.</w:t>
      </w:r>
    </w:p>
  </w:footnote>
  <w:footnote w:id="189">
    <w:p w14:paraId="116BA3E9" w14:textId="3D6684FD" w:rsidR="00C14253" w:rsidRPr="00570190" w:rsidRDefault="00C14253" w:rsidP="00B8236D">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Essence</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rapport du Groupe spécial, p. 25; E. </w:t>
      </w:r>
      <w:r w:rsidRPr="00570190">
        <w:rPr>
          <w:rFonts w:ascii="Times New Roman" w:hAnsi="Times New Roman" w:cs="Times New Roman"/>
          <w:smallCaps/>
          <w:sz w:val="20"/>
          <w:szCs w:val="20"/>
        </w:rPr>
        <w:t>Canal-Forgues, T. Flory,</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p. 558.</w:t>
      </w:r>
    </w:p>
  </w:footnote>
  <w:footnote w:id="190">
    <w:p w14:paraId="5A5234DE" w14:textId="2276EA67" w:rsidR="00C14253" w:rsidRPr="00570190" w:rsidRDefault="00C14253" w:rsidP="00507891">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E. </w:t>
      </w:r>
      <w:r w:rsidRPr="00570190">
        <w:rPr>
          <w:rFonts w:ascii="Times New Roman" w:hAnsi="Times New Roman" w:cs="Times New Roman"/>
          <w:smallCaps/>
          <w:sz w:val="20"/>
          <w:szCs w:val="20"/>
        </w:rPr>
        <w:t>Canal-Forgues, T. Flory</w:t>
      </w:r>
      <w:r w:rsidRPr="00570190">
        <w:rPr>
          <w:rFonts w:ascii="Times New Roman" w:hAnsi="Times New Roman" w:cs="Times New Roman"/>
          <w:sz w:val="20"/>
          <w:szCs w:val="20"/>
          <w:lang w:val="nl-NL"/>
        </w:rPr>
        <w:t>,</w:t>
      </w:r>
      <w:r w:rsidRPr="00570190">
        <w:rPr>
          <w:rFonts w:ascii="Times New Roman" w:hAnsi="Times New Roman" w:cs="Times New Roman"/>
          <w:i/>
          <w:sz w:val="20"/>
          <w:szCs w:val="20"/>
          <w:lang w:val="nl-NL"/>
        </w:rPr>
        <w:t xml:space="preserve"> op. cit.</w:t>
      </w:r>
      <w:r w:rsidRPr="00570190">
        <w:rPr>
          <w:rFonts w:ascii="Times New Roman" w:hAnsi="Times New Roman" w:cs="Times New Roman"/>
          <w:sz w:val="20"/>
          <w:szCs w:val="20"/>
          <w:lang w:val="nl-NL"/>
        </w:rPr>
        <w:t xml:space="preserve">, p. 559; </w:t>
      </w:r>
      <w:r w:rsidRPr="00570190">
        <w:rPr>
          <w:rFonts w:ascii="Times New Roman" w:hAnsi="Times New Roman" w:cs="Times New Roman"/>
          <w:i/>
          <w:sz w:val="20"/>
          <w:szCs w:val="20"/>
        </w:rPr>
        <w:t>Essence,</w:t>
      </w:r>
      <w:r w:rsidRPr="00570190">
        <w:rPr>
          <w:rFonts w:ascii="Times New Roman" w:hAnsi="Times New Roman" w:cs="Times New Roman"/>
          <w:sz w:val="20"/>
          <w:szCs w:val="20"/>
          <w:lang w:val="nl-NL"/>
        </w:rPr>
        <w:t xml:space="preserve"> rapport de l’Organe d’appel, p. 25.</w:t>
      </w:r>
    </w:p>
  </w:footnote>
  <w:footnote w:id="191">
    <w:p w14:paraId="4554076E" w14:textId="3E9F45CA" w:rsidR="00C14253" w:rsidRPr="00570190" w:rsidRDefault="00C14253" w:rsidP="00CD6275">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J. Ngambi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La preuve dans le règlement des différends de l’organisation mondiale du commerce</w:t>
      </w:r>
      <w:r w:rsidRPr="00570190">
        <w:rPr>
          <w:rFonts w:ascii="Times New Roman" w:hAnsi="Times New Roman" w:cs="Times New Roman"/>
          <w:sz w:val="20"/>
          <w:szCs w:val="20"/>
        </w:rPr>
        <w:t xml:space="preserve">, Bruxelles, Bruylant, p. 210; </w:t>
      </w:r>
      <w:r w:rsidRPr="00570190">
        <w:rPr>
          <w:rFonts w:ascii="Times New Roman" w:hAnsi="Times New Roman" w:cs="Times New Roman"/>
          <w:smallCaps/>
          <w:sz w:val="20"/>
          <w:szCs w:val="20"/>
        </w:rPr>
        <w:t>J. Pauwelyn</w:t>
      </w:r>
      <w:r w:rsidRPr="00570190">
        <w:rPr>
          <w:rFonts w:ascii="Times New Roman" w:hAnsi="Times New Roman" w:cs="Times New Roman"/>
          <w:sz w:val="20"/>
          <w:szCs w:val="20"/>
        </w:rPr>
        <w:t xml:space="preserve">, « Evidence, Proof and Persuasion in WTO Dispute Settlement. Who bears the burden ? », </w:t>
      </w:r>
      <w:r w:rsidRPr="00570190">
        <w:rPr>
          <w:rFonts w:ascii="Times New Roman" w:hAnsi="Times New Roman" w:cs="Times New Roman"/>
          <w:i/>
          <w:sz w:val="20"/>
          <w:szCs w:val="20"/>
        </w:rPr>
        <w:t>JIEL</w:t>
      </w:r>
      <w:r w:rsidRPr="00570190">
        <w:rPr>
          <w:rFonts w:ascii="Times New Roman" w:hAnsi="Times New Roman" w:cs="Times New Roman"/>
          <w:sz w:val="20"/>
          <w:szCs w:val="20"/>
        </w:rPr>
        <w:t>, 1998, n°1, p. 240, note 38.</w:t>
      </w:r>
    </w:p>
  </w:footnote>
  <w:footnote w:id="192">
    <w:p w14:paraId="711A98AC" w14:textId="1176B712" w:rsidR="00C14253" w:rsidRPr="00570190" w:rsidRDefault="00C14253" w:rsidP="00CD6275">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J. Ngambi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210.</w:t>
      </w:r>
    </w:p>
  </w:footnote>
  <w:footnote w:id="193">
    <w:p w14:paraId="4D101A4A" w14:textId="3278E4CF" w:rsidR="00C14253" w:rsidRPr="00570190" w:rsidRDefault="00C14253" w:rsidP="00847646">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Les Etats-Unis ont considéré que le Groupe spécial avait commis des erreurs de droit lorsqu’il avait avancé que les règles d’établissement des niveaux de base du règlement sur l’essence n’étaient pas justifiées au titre des dispositions introductives et du paragraphe </w:t>
      </w:r>
      <w:r w:rsidRPr="00570190">
        <w:rPr>
          <w:rFonts w:ascii="Times New Roman" w:hAnsi="Times New Roman" w:cs="Times New Roman"/>
          <w:i/>
          <w:sz w:val="20"/>
          <w:szCs w:val="20"/>
        </w:rPr>
        <w:t>g)</w:t>
      </w:r>
      <w:r w:rsidRPr="00570190">
        <w:rPr>
          <w:rFonts w:ascii="Times New Roman" w:hAnsi="Times New Roman" w:cs="Times New Roman"/>
          <w:sz w:val="20"/>
          <w:szCs w:val="20"/>
        </w:rPr>
        <w:t xml:space="preserve"> de l’article XX. ; </w:t>
      </w:r>
      <w:r w:rsidRPr="00570190">
        <w:rPr>
          <w:rFonts w:ascii="Times New Roman" w:hAnsi="Times New Roman" w:cs="Times New Roman"/>
          <w:smallCaps/>
          <w:sz w:val="20"/>
          <w:szCs w:val="20"/>
        </w:rPr>
        <w:t>S</w:t>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 xml:space="preserve">Zlepting,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p 278.</w:t>
      </w:r>
    </w:p>
  </w:footnote>
  <w:footnote w:id="194">
    <w:p w14:paraId="7DCD57B4" w14:textId="2C371510" w:rsidR="00C14253" w:rsidRPr="00570190" w:rsidRDefault="00C14253" w:rsidP="00CE588A">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E. </w:t>
      </w:r>
      <w:r w:rsidRPr="00570190">
        <w:rPr>
          <w:rFonts w:ascii="Times New Roman" w:hAnsi="Times New Roman" w:cs="Times New Roman"/>
          <w:smallCaps/>
          <w:sz w:val="20"/>
          <w:szCs w:val="20"/>
        </w:rPr>
        <w:t>Canal-Forgues, T. Flory</w:t>
      </w:r>
      <w:r w:rsidRPr="00570190">
        <w:rPr>
          <w:rFonts w:ascii="Times New Roman" w:hAnsi="Times New Roman" w:cs="Times New Roman"/>
          <w:sz w:val="20"/>
          <w:szCs w:val="20"/>
          <w:lang w:val="nl-NL"/>
        </w:rPr>
        <w:t>,</w:t>
      </w:r>
      <w:r w:rsidRPr="00570190">
        <w:rPr>
          <w:rFonts w:ascii="Times New Roman" w:hAnsi="Times New Roman" w:cs="Times New Roman"/>
          <w:i/>
          <w:sz w:val="20"/>
          <w:szCs w:val="20"/>
          <w:lang w:val="nl-NL"/>
        </w:rPr>
        <w:t xml:space="preserve"> op. cit.</w:t>
      </w:r>
      <w:r w:rsidRPr="00570190">
        <w:rPr>
          <w:rFonts w:ascii="Times New Roman" w:hAnsi="Times New Roman" w:cs="Times New Roman"/>
          <w:sz w:val="20"/>
          <w:szCs w:val="20"/>
          <w:lang w:val="nl-NL"/>
        </w:rPr>
        <w:t>, p. 550.</w:t>
      </w:r>
    </w:p>
  </w:footnote>
  <w:footnote w:id="195">
    <w:p w14:paraId="420BD956" w14:textId="00FE5959" w:rsidR="00C14253" w:rsidRPr="00570190" w:rsidRDefault="00C14253">
      <w:pPr>
        <w:pStyle w:val="Notedebasdepage"/>
        <w:rPr>
          <w:rFonts w:ascii="Times New Roman" w:hAnsi="Times New Roman" w:cs="Times New Roman"/>
          <w:iCs/>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S</w:t>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 xml:space="preserve">Zlepting, </w:t>
      </w:r>
      <w:r w:rsidRPr="00570190">
        <w:rPr>
          <w:rFonts w:ascii="Times New Roman" w:hAnsi="Times New Roman" w:cs="Times New Roman"/>
          <w:i/>
          <w:iCs/>
          <w:sz w:val="20"/>
          <w:szCs w:val="20"/>
        </w:rPr>
        <w:t xml:space="preserve">op. cit., </w:t>
      </w:r>
      <w:r w:rsidRPr="00570190">
        <w:rPr>
          <w:rFonts w:ascii="Times New Roman" w:hAnsi="Times New Roman" w:cs="Times New Roman"/>
          <w:iCs/>
          <w:sz w:val="20"/>
          <w:szCs w:val="20"/>
        </w:rPr>
        <w:t>p. 280.</w:t>
      </w:r>
    </w:p>
  </w:footnote>
  <w:footnote w:id="196">
    <w:p w14:paraId="49AA97E4" w14:textId="0626541D" w:rsidR="00C14253" w:rsidRPr="00570190" w:rsidRDefault="00C14253" w:rsidP="00CE588A">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E. </w:t>
      </w:r>
      <w:r w:rsidRPr="00570190">
        <w:rPr>
          <w:rFonts w:ascii="Times New Roman" w:hAnsi="Times New Roman" w:cs="Times New Roman"/>
          <w:smallCaps/>
          <w:sz w:val="20"/>
          <w:szCs w:val="20"/>
        </w:rPr>
        <w:t>Canal-Forgues, T. Flory,</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p. 551.</w:t>
      </w:r>
    </w:p>
  </w:footnote>
  <w:footnote w:id="197">
    <w:p w14:paraId="65FC8347" w14:textId="77777777" w:rsidR="00C14253" w:rsidRPr="00570190" w:rsidRDefault="00C14253" w:rsidP="00CE588A">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D’une part, la mesure doit être justifiée (provisoirement) au motif qu’elle relève de l’article XX </w:t>
      </w:r>
      <w:r w:rsidRPr="00570190">
        <w:rPr>
          <w:rFonts w:ascii="Times New Roman" w:hAnsi="Times New Roman" w:cs="Times New Roman"/>
          <w:i/>
          <w:sz w:val="20"/>
          <w:szCs w:val="20"/>
        </w:rPr>
        <w:t>g)</w:t>
      </w:r>
      <w:r w:rsidRPr="00570190">
        <w:rPr>
          <w:rFonts w:ascii="Times New Roman" w:hAnsi="Times New Roman" w:cs="Times New Roman"/>
          <w:sz w:val="20"/>
          <w:szCs w:val="20"/>
        </w:rPr>
        <w:t xml:space="preserve"> et d’autre part, la mesure doit être justifiée eu égard au chapeau de l’article XX. En d’autres termes, l’analyse se révèle être double.</w:t>
      </w:r>
    </w:p>
  </w:footnote>
  <w:footnote w:id="198">
    <w:p w14:paraId="23451562" w14:textId="333EBA32" w:rsidR="00C14253" w:rsidRPr="00570190" w:rsidRDefault="00C14253" w:rsidP="009574D2">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Essence</w:t>
      </w:r>
      <w:r w:rsidRPr="00570190">
        <w:rPr>
          <w:rFonts w:ascii="Times New Roman" w:hAnsi="Times New Roman" w:cs="Times New Roman"/>
          <w:sz w:val="20"/>
          <w:szCs w:val="20"/>
          <w:lang w:val="nl-NL"/>
        </w:rPr>
        <w:t xml:space="preserve">, rapport de l’Organe d’appel, page 24; </w:t>
      </w:r>
      <w:r w:rsidRPr="00570190">
        <w:rPr>
          <w:rFonts w:ascii="Times New Roman" w:hAnsi="Times New Roman" w:cs="Times New Roman"/>
          <w:sz w:val="20"/>
          <w:szCs w:val="20"/>
        </w:rPr>
        <w:t xml:space="preserve">World Trade Organization, </w:t>
      </w:r>
      <w:r w:rsidRPr="00570190">
        <w:rPr>
          <w:rFonts w:ascii="Times New Roman" w:hAnsi="Times New Roman" w:cs="Times New Roman"/>
          <w:i/>
          <w:sz w:val="20"/>
          <w:szCs w:val="20"/>
        </w:rPr>
        <w:t>WTO Analytical Index, Guide to WTO Law and Practice</w:t>
      </w:r>
      <w:r w:rsidRPr="00570190">
        <w:rPr>
          <w:rFonts w:ascii="Times New Roman" w:hAnsi="Times New Roman" w:cs="Times New Roman"/>
          <w:sz w:val="20"/>
          <w:szCs w:val="20"/>
        </w:rPr>
        <w:t>, Cambridge, Cambridge University Press, 2</w:t>
      </w:r>
      <w:r w:rsidRPr="00570190">
        <w:rPr>
          <w:rFonts w:ascii="Times New Roman" w:hAnsi="Times New Roman" w:cs="Times New Roman"/>
          <w:sz w:val="20"/>
          <w:szCs w:val="20"/>
          <w:vertAlign w:val="superscript"/>
        </w:rPr>
        <w:t>e</w:t>
      </w:r>
      <w:r w:rsidRPr="00570190">
        <w:rPr>
          <w:rFonts w:ascii="Times New Roman" w:hAnsi="Times New Roman" w:cs="Times New Roman"/>
          <w:sz w:val="20"/>
          <w:szCs w:val="20"/>
        </w:rPr>
        <w:t xml:space="preserve"> edition, Vol. 1., 2007, p. 294;</w:t>
      </w:r>
      <w:r w:rsidRPr="00570190">
        <w:rPr>
          <w:rFonts w:ascii="Times New Roman" w:hAnsi="Times New Roman" w:cs="Times New Roman"/>
          <w:smallCaps/>
          <w:sz w:val="20"/>
          <w:szCs w:val="20"/>
        </w:rPr>
        <w:t xml:space="preserve"> Jackson H. John</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The Jurisprudence of GATT and the WTO, Insights on treaty law and economic relations</w:t>
      </w:r>
      <w:r w:rsidRPr="00570190">
        <w:rPr>
          <w:rFonts w:ascii="Times New Roman" w:hAnsi="Times New Roman" w:cs="Times New Roman"/>
          <w:sz w:val="20"/>
          <w:szCs w:val="20"/>
        </w:rPr>
        <w:t>, Cambridge, Cambridge Press University, 2000, p. 395.</w:t>
      </w:r>
    </w:p>
  </w:footnote>
  <w:footnote w:id="199">
    <w:p w14:paraId="2C521B3B" w14:textId="77777777" w:rsidR="00C14253" w:rsidRPr="00570190" w:rsidRDefault="00C14253" w:rsidP="00CE588A">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"États-Unis - Prohibition à l'importation de certaines crevettes et de certains produits à base de crevettes", rapport du Groupe spécial, WT/DS58/R, distribué le 15 mai 1998, et rapport de l'Organe d'appel, WT/DS58/AB/R, distribué le 12 octobre 1998 (ci-après dénommé </w:t>
      </w:r>
      <w:r w:rsidRPr="00570190">
        <w:rPr>
          <w:rFonts w:ascii="Times New Roman" w:hAnsi="Times New Roman" w:cs="Times New Roman"/>
          <w:b/>
          <w:i/>
          <w:sz w:val="20"/>
          <w:szCs w:val="20"/>
        </w:rPr>
        <w:t>Crevettes</w:t>
      </w:r>
      <w:r w:rsidRPr="00570190">
        <w:rPr>
          <w:rFonts w:ascii="Times New Roman" w:hAnsi="Times New Roman" w:cs="Times New Roman"/>
          <w:sz w:val="20"/>
          <w:szCs w:val="20"/>
        </w:rPr>
        <w:t>).</w:t>
      </w:r>
    </w:p>
  </w:footnote>
  <w:footnote w:id="200">
    <w:p w14:paraId="64EB7CF9" w14:textId="0A545043" w:rsidR="00C14253" w:rsidRPr="00570190" w:rsidRDefault="00C14253" w:rsidP="00CE588A">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Crevettes</w:t>
      </w:r>
      <w:r w:rsidRPr="00570190">
        <w:rPr>
          <w:rFonts w:ascii="Times New Roman" w:hAnsi="Times New Roman" w:cs="Times New Roman"/>
          <w:sz w:val="20"/>
          <w:szCs w:val="20"/>
          <w:lang w:val="nl-NL"/>
        </w:rPr>
        <w:t xml:space="preserve">, rapport du Groupe spécial, § 7.28; B. </w:t>
      </w:r>
      <w:r w:rsidRPr="00570190">
        <w:rPr>
          <w:rFonts w:ascii="Times New Roman" w:hAnsi="Times New Roman" w:cs="Times New Roman"/>
          <w:smallCaps/>
          <w:sz w:val="20"/>
          <w:szCs w:val="20"/>
        </w:rPr>
        <w:t>Stern, H. Ruiz Fabri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The Case-Law of the WTO, La jurisprudence de l’OMC, 1998</w:t>
      </w:r>
      <w:r w:rsidRPr="00570190">
        <w:rPr>
          <w:rFonts w:ascii="Times New Roman" w:hAnsi="Times New Roman" w:cs="Times New Roman"/>
          <w:sz w:val="20"/>
          <w:szCs w:val="20"/>
        </w:rPr>
        <w:t>, Nijhoff, Leiden, 2005, p. 115.</w:t>
      </w:r>
    </w:p>
  </w:footnote>
  <w:footnote w:id="201">
    <w:p w14:paraId="392654CB" w14:textId="77777777" w:rsidR="00C14253" w:rsidRPr="00570190" w:rsidRDefault="00C14253" w:rsidP="00CE588A">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Crevettes</w:t>
      </w:r>
      <w:r w:rsidRPr="00570190">
        <w:rPr>
          <w:rFonts w:ascii="Times New Roman" w:hAnsi="Times New Roman" w:cs="Times New Roman"/>
          <w:sz w:val="20"/>
          <w:szCs w:val="20"/>
          <w:lang w:val="nl-NL"/>
        </w:rPr>
        <w:t>, rapport de l’Organe d’appel, § 119.</w:t>
      </w:r>
    </w:p>
  </w:footnote>
  <w:footnote w:id="202">
    <w:p w14:paraId="41959DED" w14:textId="0188CD8C" w:rsidR="00C14253" w:rsidRPr="00570190" w:rsidRDefault="00C14253" w:rsidP="00CE588A">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Crevettes</w:t>
      </w:r>
      <w:r w:rsidRPr="00570190">
        <w:rPr>
          <w:rFonts w:ascii="Times New Roman" w:hAnsi="Times New Roman" w:cs="Times New Roman"/>
          <w:sz w:val="20"/>
          <w:szCs w:val="20"/>
        </w:rPr>
        <w:t>, rapport de l’Organe d’appel, §§ 119-120.</w:t>
      </w:r>
    </w:p>
  </w:footnote>
  <w:footnote w:id="203">
    <w:p w14:paraId="600C8DCB" w14:textId="77777777" w:rsidR="00C14253" w:rsidRPr="00570190" w:rsidRDefault="00C14253" w:rsidP="007E3317">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Voir également dans la décision </w:t>
      </w:r>
      <w:r w:rsidRPr="00570190">
        <w:rPr>
          <w:rFonts w:ascii="Times New Roman" w:hAnsi="Times New Roman" w:cs="Times New Roman"/>
          <w:i/>
          <w:sz w:val="20"/>
          <w:szCs w:val="20"/>
          <w:lang w:val="nl-NL"/>
        </w:rPr>
        <w:t>Essence</w:t>
      </w:r>
      <w:r w:rsidRPr="00570190">
        <w:rPr>
          <w:rFonts w:ascii="Times New Roman" w:hAnsi="Times New Roman" w:cs="Times New Roman"/>
          <w:sz w:val="20"/>
          <w:szCs w:val="20"/>
          <w:lang w:val="nl-NL"/>
        </w:rPr>
        <w:t>.</w:t>
      </w:r>
    </w:p>
  </w:footnote>
  <w:footnote w:id="204">
    <w:p w14:paraId="23D8684A" w14:textId="77777777" w:rsidR="00C14253" w:rsidRPr="00570190" w:rsidRDefault="00C14253" w:rsidP="00CE588A">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Crevettes</w:t>
      </w:r>
      <w:r w:rsidRPr="00570190">
        <w:rPr>
          <w:rFonts w:ascii="Times New Roman" w:hAnsi="Times New Roman" w:cs="Times New Roman"/>
          <w:sz w:val="20"/>
          <w:szCs w:val="20"/>
          <w:lang w:val="nl-NL"/>
        </w:rPr>
        <w:t>, rapport de l’Organe d’appel, § 149.</w:t>
      </w:r>
    </w:p>
  </w:footnote>
  <w:footnote w:id="205">
    <w:p w14:paraId="1E68964F" w14:textId="77777777" w:rsidR="00105FCE" w:rsidRPr="00570190" w:rsidRDefault="00105FCE" w:rsidP="00105FC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J. Ngambi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209.</w:t>
      </w:r>
    </w:p>
  </w:footnote>
  <w:footnote w:id="206">
    <w:p w14:paraId="2D5B0E66" w14:textId="77777777" w:rsidR="00105FCE" w:rsidRPr="00570190" w:rsidRDefault="00105FCE" w:rsidP="00105FCE">
      <w:pPr>
        <w:pStyle w:val="Notedebasdepage"/>
        <w:rPr>
          <w:rFonts w:ascii="Times New Roman" w:hAnsi="Times New Roman" w:cs="Times New Roman"/>
          <w:sz w:val="20"/>
          <w:szCs w:val="20"/>
          <w:lang w:val="nl-NL"/>
        </w:rPr>
      </w:pPr>
      <w:r w:rsidRPr="009F2261">
        <w:rPr>
          <w:rStyle w:val="Marquenotebasdepage"/>
          <w:rFonts w:ascii="Times New Roman" w:hAnsi="Times New Roman" w:cs="Times New Roman"/>
          <w:sz w:val="20"/>
          <w:szCs w:val="20"/>
        </w:rPr>
        <w:footnoteRef/>
      </w:r>
      <w:r w:rsidRPr="009F2261">
        <w:rPr>
          <w:rFonts w:ascii="Times New Roman" w:hAnsi="Times New Roman" w:cs="Times New Roman"/>
          <w:sz w:val="20"/>
          <w:szCs w:val="20"/>
        </w:rPr>
        <w:t xml:space="preserve"> </w:t>
      </w:r>
      <w:r w:rsidRPr="009F2261">
        <w:rPr>
          <w:rFonts w:ascii="Times New Roman" w:hAnsi="Times New Roman" w:cs="Times New Roman"/>
          <w:i/>
          <w:sz w:val="20"/>
          <w:szCs w:val="20"/>
          <w:lang w:val="nl-NL"/>
        </w:rPr>
        <w:t>Essence</w:t>
      </w:r>
      <w:r w:rsidRPr="009F2261">
        <w:rPr>
          <w:rFonts w:ascii="Times New Roman" w:hAnsi="Times New Roman" w:cs="Times New Roman"/>
          <w:sz w:val="20"/>
          <w:szCs w:val="20"/>
          <w:lang w:val="nl-NL"/>
        </w:rPr>
        <w:t xml:space="preserve">, rapport de l’Organe d’appel, p. 25. Ce qui confirme une pratique antérieure du GATT, affaire Etats-Unis – Importation de certains assemblages de ressorts automobiles” En effet : </w:t>
      </w:r>
      <w:r w:rsidRPr="009F2261">
        <w:rPr>
          <w:rFonts w:ascii="Times New Roman" w:hAnsi="Times New Roman" w:cs="Times New Roman"/>
          <w:sz w:val="20"/>
          <w:szCs w:val="20"/>
        </w:rPr>
        <w:t xml:space="preserve">« le texte introductif ne s’applique expressément non pas tant à la mesure en cause ou à sa teneur spécifique proprement dite, mais plutôt dans la manière dont la mesure est appliquée » ; Dans l’affaire </w:t>
      </w:r>
      <w:r w:rsidRPr="009F2261">
        <w:rPr>
          <w:rFonts w:ascii="Times New Roman" w:hAnsi="Times New Roman" w:cs="Times New Roman"/>
          <w:i/>
          <w:sz w:val="20"/>
          <w:szCs w:val="20"/>
        </w:rPr>
        <w:t>« Etats-Unis – Importations de certains assemblages de ressorts pour automobiles »</w:t>
      </w:r>
      <w:r w:rsidRPr="009F2261">
        <w:rPr>
          <w:rFonts w:ascii="Times New Roman" w:hAnsi="Times New Roman" w:cs="Times New Roman"/>
          <w:sz w:val="20"/>
          <w:szCs w:val="20"/>
        </w:rPr>
        <w:t>  « il ressort clairement du préambule de l’article XX qu’il faut examiner l’application de la mesure et non pas la mesure elle-même », rapport du Groupe spécial, § 56.</w:t>
      </w:r>
      <w:r w:rsidRPr="00570190">
        <w:rPr>
          <w:rFonts w:ascii="Times New Roman" w:hAnsi="Times New Roman" w:cs="Times New Roman"/>
          <w:sz w:val="20"/>
          <w:szCs w:val="20"/>
        </w:rPr>
        <w:t xml:space="preserve"> </w:t>
      </w:r>
    </w:p>
  </w:footnote>
  <w:footnote w:id="207">
    <w:p w14:paraId="194418CA" w14:textId="77777777" w:rsidR="00105FCE" w:rsidRPr="00570190" w:rsidRDefault="00105FCE" w:rsidP="00105FC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J. Ngambi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 210 ; Dans le même sens, </w:t>
      </w:r>
      <w:r w:rsidRPr="00570190">
        <w:rPr>
          <w:rFonts w:ascii="Times New Roman" w:hAnsi="Times New Roman" w:cs="Times New Roman"/>
          <w:smallCaps/>
          <w:sz w:val="20"/>
          <w:szCs w:val="20"/>
        </w:rPr>
        <w:t>J. Pauwelyn</w:t>
      </w:r>
      <w:r w:rsidRPr="00570190">
        <w:rPr>
          <w:rFonts w:ascii="Times New Roman" w:hAnsi="Times New Roman" w:cs="Times New Roman"/>
          <w:sz w:val="20"/>
          <w:szCs w:val="20"/>
        </w:rPr>
        <w:t xml:space="preserve">, « Evidence, Proof, Persuasion in WTO Dispute Settlement. Who bears the burden ? » </w:t>
      </w:r>
      <w:r w:rsidRPr="00570190">
        <w:rPr>
          <w:rFonts w:ascii="Times New Roman" w:hAnsi="Times New Roman" w:cs="Times New Roman"/>
          <w:i/>
          <w:sz w:val="20"/>
          <w:szCs w:val="20"/>
        </w:rPr>
        <w:t>JIEL</w:t>
      </w:r>
      <w:r w:rsidRPr="00570190">
        <w:rPr>
          <w:rFonts w:ascii="Times New Roman" w:hAnsi="Times New Roman" w:cs="Times New Roman"/>
          <w:sz w:val="20"/>
          <w:szCs w:val="20"/>
        </w:rPr>
        <w:t>, 1998, n°1, p. 240. Selon cet auteur, « the chapeau of Article XX deals with how measure is ‘applied’, whereas the individual paragraphs of Article XX impose conditions on the measure as such ».</w:t>
      </w:r>
    </w:p>
  </w:footnote>
  <w:footnote w:id="208">
    <w:p w14:paraId="6477C247" w14:textId="77777777" w:rsidR="00105FCE" w:rsidRPr="00570190" w:rsidRDefault="00105FCE" w:rsidP="00105FC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J. Ngambi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210.</w:t>
      </w:r>
    </w:p>
  </w:footnote>
  <w:footnote w:id="209">
    <w:p w14:paraId="61650B86" w14:textId="77777777" w:rsidR="00105FCE" w:rsidRPr="00570190" w:rsidRDefault="00105FCE" w:rsidP="00105FC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p. 210.</w:t>
      </w:r>
    </w:p>
  </w:footnote>
  <w:footnote w:id="210">
    <w:p w14:paraId="7C780139" w14:textId="77777777" w:rsidR="00105FCE" w:rsidRPr="00570190" w:rsidRDefault="00105FCE" w:rsidP="00105FC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p. 210.</w:t>
      </w:r>
    </w:p>
  </w:footnote>
  <w:footnote w:id="211">
    <w:p w14:paraId="22D3D6FA" w14:textId="77777777" w:rsidR="00105FCE" w:rsidRPr="00570190" w:rsidRDefault="00105FCE" w:rsidP="00105FC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J. Ngambi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 210 ; </w:t>
      </w:r>
      <w:r w:rsidRPr="00570190">
        <w:rPr>
          <w:rFonts w:ascii="Times New Roman" w:hAnsi="Times New Roman" w:cs="Times New Roman"/>
          <w:smallCaps/>
          <w:sz w:val="20"/>
          <w:szCs w:val="20"/>
        </w:rPr>
        <w:t>Ruiz Favri</w:t>
      </w:r>
      <w:r w:rsidRPr="00570190">
        <w:rPr>
          <w:rFonts w:ascii="Times New Roman" w:hAnsi="Times New Roman" w:cs="Times New Roman"/>
          <w:sz w:val="20"/>
          <w:szCs w:val="20"/>
        </w:rPr>
        <w:t xml:space="preserve">, « L’appel dans le règlement des différends de l’OMC : trois ans après, quinze rapports plus tard », </w:t>
      </w:r>
      <w:r w:rsidRPr="00570190">
        <w:rPr>
          <w:rFonts w:ascii="Times New Roman" w:hAnsi="Times New Roman" w:cs="Times New Roman"/>
          <w:i/>
          <w:sz w:val="20"/>
          <w:szCs w:val="20"/>
        </w:rPr>
        <w:t>RGDIP</w:t>
      </w:r>
      <w:r w:rsidRPr="00570190">
        <w:rPr>
          <w:rFonts w:ascii="Times New Roman" w:hAnsi="Times New Roman" w:cs="Times New Roman"/>
          <w:sz w:val="20"/>
          <w:szCs w:val="20"/>
        </w:rPr>
        <w:t xml:space="preserve">, 1999, n°1, p. 71. </w:t>
      </w:r>
    </w:p>
  </w:footnote>
  <w:footnote w:id="212">
    <w:p w14:paraId="33EB049F" w14:textId="77777777" w:rsidR="00105FCE" w:rsidRPr="00570190" w:rsidRDefault="00105FCE" w:rsidP="00105FC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 xml:space="preserve">J. Ngambi, </w:t>
      </w:r>
      <w:r w:rsidRPr="00570190">
        <w:rPr>
          <w:rFonts w:ascii="Times New Roman" w:hAnsi="Times New Roman" w:cs="Times New Roman"/>
          <w:i/>
          <w:sz w:val="20"/>
          <w:szCs w:val="20"/>
        </w:rPr>
        <w:t>op. cit.</w:t>
      </w:r>
      <w:r w:rsidRPr="00570190">
        <w:rPr>
          <w:rFonts w:ascii="Times New Roman" w:hAnsi="Times New Roman" w:cs="Times New Roman"/>
          <w:sz w:val="20"/>
          <w:szCs w:val="20"/>
        </w:rPr>
        <w:t>, p. 209.</w:t>
      </w:r>
    </w:p>
  </w:footnote>
  <w:footnote w:id="213">
    <w:p w14:paraId="5A1D0C65" w14:textId="77777777" w:rsidR="00105FCE" w:rsidRPr="00570190" w:rsidRDefault="00105FCE" w:rsidP="00105FC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lang w:val="nl-NL"/>
        </w:rPr>
        <w:t>E. Truilhé</w:t>
      </w:r>
      <w:r w:rsidRPr="00570190">
        <w:rPr>
          <w:rFonts w:ascii="Times New Roman" w:hAnsi="Times New Roman" w:cs="Times New Roman"/>
          <w:sz w:val="20"/>
          <w:szCs w:val="20"/>
          <w:lang w:val="nl-NL"/>
        </w:rPr>
        <w:t xml:space="preserve">, “Les règles relatives à la preuve: quelle place pour l’incertitude scientifique?”, in </w:t>
      </w:r>
      <w:r w:rsidRPr="00570190">
        <w:rPr>
          <w:rFonts w:ascii="Times New Roman" w:hAnsi="Times New Roman" w:cs="Times New Roman"/>
          <w:smallCaps/>
          <w:sz w:val="20"/>
          <w:szCs w:val="20"/>
          <w:lang w:val="nl-NL"/>
        </w:rPr>
        <w:t xml:space="preserve">S. Maljean-Dubois </w:t>
      </w:r>
      <w:r w:rsidRPr="00570190">
        <w:rPr>
          <w:rFonts w:ascii="Times New Roman" w:hAnsi="Times New Roman" w:cs="Times New Roman"/>
          <w:sz w:val="20"/>
          <w:szCs w:val="20"/>
          <w:lang w:val="nl-NL"/>
        </w:rPr>
        <w:t xml:space="preserve">( dirc.), </w:t>
      </w:r>
      <w:r w:rsidRPr="00570190">
        <w:rPr>
          <w:rFonts w:ascii="Times New Roman" w:hAnsi="Times New Roman" w:cs="Times New Roman"/>
          <w:i/>
          <w:sz w:val="20"/>
          <w:szCs w:val="20"/>
          <w:lang w:val="nl-NL"/>
        </w:rPr>
        <w:t>Droit de l’Organisation Mondiale du Commerce et protection de l’environnement</w:t>
      </w:r>
      <w:r w:rsidRPr="00570190">
        <w:rPr>
          <w:rFonts w:ascii="Times New Roman" w:hAnsi="Times New Roman" w:cs="Times New Roman"/>
          <w:sz w:val="20"/>
          <w:szCs w:val="20"/>
          <w:lang w:val="nl-NL"/>
        </w:rPr>
        <w:t>, Bruxelles, Bruylant, pp. 449-451.</w:t>
      </w:r>
    </w:p>
  </w:footnote>
  <w:footnote w:id="214">
    <w:p w14:paraId="1877AE5A" w14:textId="699D843B"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M. </w:t>
      </w:r>
      <w:r w:rsidRPr="00570190">
        <w:rPr>
          <w:rFonts w:ascii="Times New Roman" w:hAnsi="Times New Roman" w:cs="Times New Roman"/>
          <w:smallCaps/>
          <w:sz w:val="20"/>
          <w:szCs w:val="20"/>
          <w:lang w:val="nl-NL"/>
        </w:rPr>
        <w:t>Prost</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p. 60.</w:t>
      </w:r>
    </w:p>
  </w:footnote>
  <w:footnote w:id="215">
    <w:p w14:paraId="40F779F6" w14:textId="5F0A8951" w:rsidR="00C14253" w:rsidRPr="00570190" w:rsidRDefault="00C14253" w:rsidP="0098266F">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“Pratique du GATT/ de l’OMC”, p. 5.</w:t>
      </w:r>
    </w:p>
  </w:footnote>
  <w:footnote w:id="216">
    <w:p w14:paraId="236B75B5" w14:textId="58720DA6"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Etats-Unis – Importations de certains assemblages de ressorts pour automobiles »</w:t>
      </w:r>
      <w:r w:rsidRPr="00570190">
        <w:rPr>
          <w:rFonts w:ascii="Times New Roman" w:hAnsi="Times New Roman" w:cs="Times New Roman"/>
          <w:sz w:val="20"/>
          <w:szCs w:val="20"/>
        </w:rPr>
        <w:t xml:space="preserve">, rapport adopté le 26 mai 1983, </w:t>
      </w:r>
      <w:r w:rsidRPr="00570190">
        <w:rPr>
          <w:rFonts w:ascii="Times New Roman" w:hAnsi="Times New Roman" w:cs="Times New Roman"/>
          <w:i/>
          <w:sz w:val="20"/>
          <w:szCs w:val="20"/>
        </w:rPr>
        <w:t>IBDD</w:t>
      </w:r>
      <w:r w:rsidRPr="00570190">
        <w:rPr>
          <w:rFonts w:ascii="Times New Roman" w:hAnsi="Times New Roman" w:cs="Times New Roman"/>
          <w:sz w:val="20"/>
          <w:szCs w:val="20"/>
        </w:rPr>
        <w:t xml:space="preserve">, S30/111. </w:t>
      </w:r>
    </w:p>
  </w:footnote>
  <w:footnote w:id="217">
    <w:p w14:paraId="2F4EC1C0" w14:textId="648FDEB2"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Etats-Unis – Importations de certains assemblages de ressorts pour automobiles, rapport du Groupe spécial adopté le 26 mai 1983, IBDD, S30/111, § 56.</w:t>
      </w:r>
    </w:p>
  </w:footnote>
  <w:footnote w:id="218">
    <w:p w14:paraId="710EB50C" w14:textId="388BE505" w:rsidR="00C14253" w:rsidRPr="00570190" w:rsidRDefault="00C14253" w:rsidP="0098266F">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Crevettes</w:t>
      </w:r>
      <w:r w:rsidRPr="00570190">
        <w:rPr>
          <w:rFonts w:ascii="Times New Roman" w:hAnsi="Times New Roman" w:cs="Times New Roman"/>
          <w:sz w:val="20"/>
          <w:szCs w:val="20"/>
          <w:lang w:val="nl-NL"/>
        </w:rPr>
        <w:t>, rapport de l’Organe d’appel, § 74.</w:t>
      </w:r>
    </w:p>
  </w:footnote>
  <w:footnote w:id="219">
    <w:p w14:paraId="5C446FAA" w14:textId="503106F7" w:rsidR="00C14253" w:rsidRPr="00570190" w:rsidRDefault="00C14253" w:rsidP="0098266F">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Essence</w:t>
      </w:r>
      <w:r w:rsidRPr="00570190">
        <w:rPr>
          <w:rFonts w:ascii="Times New Roman" w:hAnsi="Times New Roman" w:cs="Times New Roman"/>
          <w:sz w:val="20"/>
          <w:szCs w:val="20"/>
          <w:lang w:val="nl-NL"/>
        </w:rPr>
        <w:t xml:space="preserve">, rapport de l’Organe d’appel, p. 25; B. </w:t>
      </w:r>
      <w:r w:rsidRPr="00570190">
        <w:rPr>
          <w:rFonts w:ascii="Times New Roman" w:hAnsi="Times New Roman" w:cs="Times New Roman"/>
          <w:smallCaps/>
          <w:sz w:val="20"/>
          <w:szCs w:val="20"/>
        </w:rPr>
        <w:t>Stern, H. Ruiz Fabri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The Case-Law of the WTO, La jurisprudence de l’OMC, 1996-1997</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24.</w:t>
      </w:r>
    </w:p>
  </w:footnote>
  <w:footnote w:id="220">
    <w:p w14:paraId="5CCCEA97" w14:textId="22B0DDE5" w:rsidR="00C14253" w:rsidRPr="00570190" w:rsidRDefault="00C14253" w:rsidP="009A6B5E">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Crevettes</w:t>
      </w:r>
      <w:r w:rsidRPr="00570190">
        <w:rPr>
          <w:rFonts w:ascii="Times New Roman" w:hAnsi="Times New Roman" w:cs="Times New Roman"/>
          <w:sz w:val="20"/>
          <w:szCs w:val="20"/>
          <w:lang w:val="nl-NL"/>
        </w:rPr>
        <w:t xml:space="preserve">, rapport de l’Organe d’appel, § 75 ; B. </w:t>
      </w:r>
      <w:r w:rsidRPr="00570190">
        <w:rPr>
          <w:rFonts w:ascii="Times New Roman" w:hAnsi="Times New Roman" w:cs="Times New Roman"/>
          <w:smallCaps/>
          <w:sz w:val="20"/>
          <w:szCs w:val="20"/>
        </w:rPr>
        <w:t>Stern, H. Ruiz Fabri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The Case-Law of the WTO, La jurisprudence de l’OMC, 1996-1997</w:t>
      </w:r>
      <w:r w:rsidRPr="00570190">
        <w:rPr>
          <w:rFonts w:ascii="Times New Roman" w:hAnsi="Times New Roman" w:cs="Times New Roman"/>
          <w:sz w:val="20"/>
          <w:szCs w:val="20"/>
        </w:rPr>
        <w:t>, pp. 78 et 104. </w:t>
      </w:r>
    </w:p>
  </w:footnote>
  <w:footnote w:id="221">
    <w:p w14:paraId="487CB296" w14:textId="23917460" w:rsidR="00C14253" w:rsidRPr="00570190" w:rsidRDefault="00C14253" w:rsidP="00C804D2">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Guide des règles et pratiques du GATT, Index analytique</w:t>
      </w:r>
      <w:r w:rsidRPr="00570190">
        <w:rPr>
          <w:rFonts w:ascii="Times New Roman" w:hAnsi="Times New Roman" w:cs="Times New Roman"/>
          <w:sz w:val="20"/>
          <w:szCs w:val="20"/>
        </w:rPr>
        <w:t>, 1995, volume 1, Articles  I-XXI, OMC, Genève, 1995</w:t>
      </w:r>
      <w:r w:rsidRPr="00570190">
        <w:rPr>
          <w:rFonts w:ascii="Times New Roman" w:hAnsi="Times New Roman" w:cs="Times New Roman"/>
          <w:sz w:val="20"/>
          <w:szCs w:val="20"/>
          <w:lang w:val="nl-NL"/>
        </w:rPr>
        <w:t>, p. 610.</w:t>
      </w:r>
    </w:p>
  </w:footnote>
  <w:footnote w:id="222">
    <w:p w14:paraId="29ED95E3" w14:textId="0C075B56"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M. </w:t>
      </w:r>
      <w:r w:rsidRPr="00570190">
        <w:rPr>
          <w:rFonts w:ascii="Times New Roman" w:hAnsi="Times New Roman" w:cs="Times New Roman"/>
          <w:smallCaps/>
          <w:sz w:val="20"/>
          <w:szCs w:val="20"/>
          <w:lang w:val="nl-NL"/>
        </w:rPr>
        <w:t xml:space="preserve">Prost,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p. 61.</w:t>
      </w:r>
    </w:p>
  </w:footnote>
  <w:footnote w:id="223">
    <w:p w14:paraId="72DBF88F" w14:textId="4E9D8515" w:rsidR="00C14253" w:rsidRPr="00570190" w:rsidRDefault="00C14253" w:rsidP="00563D87">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Essence</w:t>
      </w:r>
      <w:r w:rsidRPr="00570190">
        <w:rPr>
          <w:rFonts w:ascii="Times New Roman" w:hAnsi="Times New Roman" w:cs="Times New Roman"/>
          <w:sz w:val="20"/>
          <w:szCs w:val="20"/>
        </w:rPr>
        <w:t xml:space="preserve">, rapport du Groupe spécial, pp. 43 et 44 ; </w:t>
      </w:r>
      <w:r w:rsidRPr="00570190">
        <w:rPr>
          <w:rFonts w:ascii="Times New Roman" w:hAnsi="Times New Roman" w:cs="Times New Roman"/>
          <w:smallCaps/>
          <w:sz w:val="20"/>
          <w:szCs w:val="20"/>
        </w:rPr>
        <w:t xml:space="preserve">J. Ngambi,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 208 ; P. </w:t>
      </w:r>
      <w:r w:rsidRPr="00570190">
        <w:rPr>
          <w:rFonts w:ascii="Times New Roman" w:hAnsi="Times New Roman" w:cs="Times New Roman"/>
          <w:smallCaps/>
          <w:sz w:val="20"/>
          <w:szCs w:val="20"/>
        </w:rPr>
        <w:t>Van den Bossche</w:t>
      </w:r>
      <w:r w:rsidRPr="00570190">
        <w:rPr>
          <w:rFonts w:ascii="Times New Roman" w:hAnsi="Times New Roman" w:cs="Times New Roman"/>
          <w:sz w:val="20"/>
          <w:szCs w:val="20"/>
        </w:rPr>
        <w:t xml:space="preserve">, W. </w:t>
      </w:r>
      <w:r w:rsidRPr="00570190">
        <w:rPr>
          <w:rFonts w:ascii="Times New Roman" w:hAnsi="Times New Roman" w:cs="Times New Roman"/>
          <w:smallCaps/>
          <w:sz w:val="20"/>
          <w:szCs w:val="20"/>
        </w:rPr>
        <w:t>Zdouc</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572.</w:t>
      </w:r>
    </w:p>
  </w:footnote>
  <w:footnote w:id="224">
    <w:p w14:paraId="7BDB7E81" w14:textId="6AF47D93" w:rsidR="00C14253" w:rsidRPr="00570190" w:rsidRDefault="00C14253" w:rsidP="008953AA">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Essence</w:t>
      </w:r>
      <w:r w:rsidRPr="00570190">
        <w:rPr>
          <w:rFonts w:ascii="Times New Roman" w:hAnsi="Times New Roman" w:cs="Times New Roman"/>
          <w:sz w:val="20"/>
          <w:szCs w:val="20"/>
        </w:rPr>
        <w:t xml:space="preserve">, rapport du Groupe spécial, pp. 46 et 47 ; </w:t>
      </w:r>
      <w:r w:rsidRPr="00570190">
        <w:rPr>
          <w:rFonts w:ascii="Times New Roman" w:hAnsi="Times New Roman" w:cs="Times New Roman"/>
          <w:smallCaps/>
          <w:sz w:val="20"/>
          <w:szCs w:val="20"/>
        </w:rPr>
        <w:t>J. Ngambi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208.</w:t>
      </w:r>
    </w:p>
  </w:footnote>
  <w:footnote w:id="225">
    <w:p w14:paraId="2E91251B" w14:textId="1D8B8F63"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Guide des règles et pratiques du GATT, Index analytique</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w:t>
      </w:r>
      <w:r w:rsidRPr="00570190">
        <w:rPr>
          <w:rFonts w:ascii="Times New Roman" w:hAnsi="Times New Roman" w:cs="Times New Roman"/>
          <w:sz w:val="20"/>
          <w:szCs w:val="20"/>
          <w:lang w:val="nl-NL"/>
        </w:rPr>
        <w:t xml:space="preserve"> 610 ; E. </w:t>
      </w:r>
      <w:r w:rsidRPr="00570190">
        <w:rPr>
          <w:rFonts w:ascii="Times New Roman" w:hAnsi="Times New Roman" w:cs="Times New Roman"/>
          <w:smallCaps/>
          <w:sz w:val="20"/>
          <w:szCs w:val="20"/>
        </w:rPr>
        <w:t>Canal-Forgues, T. Flory,</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w:t>
      </w:r>
      <w:r w:rsidRPr="00570190">
        <w:rPr>
          <w:rFonts w:ascii="Times New Roman" w:hAnsi="Times New Roman" w:cs="Times New Roman"/>
          <w:sz w:val="20"/>
          <w:szCs w:val="20"/>
          <w:lang w:val="nl-NL"/>
        </w:rPr>
        <w:t>, p. 558.</w:t>
      </w:r>
    </w:p>
  </w:footnote>
  <w:footnote w:id="226">
    <w:p w14:paraId="11495B99" w14:textId="35A68E33" w:rsidR="00C14253" w:rsidRPr="00570190" w:rsidRDefault="00C14253" w:rsidP="008953AA">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Essence</w:t>
      </w:r>
      <w:r w:rsidRPr="00570190">
        <w:rPr>
          <w:rFonts w:ascii="Times New Roman" w:hAnsi="Times New Roman" w:cs="Times New Roman"/>
          <w:sz w:val="20"/>
          <w:szCs w:val="20"/>
        </w:rPr>
        <w:t>, rapport du Groupe spécial, pp. 43 à 47 ;</w:t>
      </w:r>
      <w:r w:rsidRPr="00570190">
        <w:rPr>
          <w:rFonts w:ascii="Times New Roman" w:hAnsi="Times New Roman" w:cs="Times New Roman"/>
          <w:smallCaps/>
          <w:sz w:val="20"/>
          <w:szCs w:val="20"/>
        </w:rPr>
        <w:t xml:space="preserve"> J. Ngambi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 208 ; B. </w:t>
      </w:r>
      <w:r w:rsidRPr="00570190">
        <w:rPr>
          <w:rFonts w:ascii="Times New Roman" w:hAnsi="Times New Roman" w:cs="Times New Roman"/>
          <w:smallCaps/>
          <w:sz w:val="20"/>
          <w:szCs w:val="20"/>
        </w:rPr>
        <w:t>Stern, H. Ruiz Fabri,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The Case-Law of the WTO, La jurisprudence de l’OMC, 1996-1997</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rPr>
        <w:t>p. 23.</w:t>
      </w:r>
    </w:p>
  </w:footnote>
  <w:footnote w:id="227">
    <w:p w14:paraId="464BA771" w14:textId="77777777"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Crevettes</w:t>
      </w:r>
      <w:r w:rsidRPr="00570190">
        <w:rPr>
          <w:rFonts w:ascii="Times New Roman" w:hAnsi="Times New Roman" w:cs="Times New Roman"/>
          <w:sz w:val="20"/>
          <w:szCs w:val="20"/>
          <w:lang w:val="nl-NL"/>
        </w:rPr>
        <w:t>, rapport de l’Organe d’appel, § 157.</w:t>
      </w:r>
    </w:p>
  </w:footnote>
  <w:footnote w:id="228">
    <w:p w14:paraId="18C823FF" w14:textId="75922F8A"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Crevettes</w:t>
      </w:r>
      <w:r w:rsidRPr="00570190">
        <w:rPr>
          <w:rFonts w:ascii="Times New Roman" w:hAnsi="Times New Roman" w:cs="Times New Roman"/>
          <w:sz w:val="20"/>
          <w:szCs w:val="20"/>
          <w:lang w:val="nl-NL"/>
        </w:rPr>
        <w:t xml:space="preserve">, rapport de l’Organe d’appel, § 156; B. </w:t>
      </w:r>
      <w:r w:rsidRPr="00570190">
        <w:rPr>
          <w:rFonts w:ascii="Times New Roman" w:hAnsi="Times New Roman" w:cs="Times New Roman"/>
          <w:smallCaps/>
          <w:sz w:val="20"/>
          <w:szCs w:val="20"/>
        </w:rPr>
        <w:t>Stern, H. Ruiz Fabri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The Case-Law of the WTO, La jurisprudence de l’OMC, 1996-1997</w:t>
      </w:r>
      <w:r w:rsidRPr="00570190">
        <w:rPr>
          <w:rFonts w:ascii="Times New Roman" w:hAnsi="Times New Roman" w:cs="Times New Roman"/>
          <w:sz w:val="20"/>
          <w:szCs w:val="20"/>
        </w:rPr>
        <w:t>, pp. 81 à 83.</w:t>
      </w:r>
    </w:p>
  </w:footnote>
  <w:footnote w:id="229">
    <w:p w14:paraId="04CC4A3B" w14:textId="77777777"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Crevettes</w:t>
      </w:r>
      <w:r w:rsidRPr="00570190">
        <w:rPr>
          <w:rFonts w:ascii="Times New Roman" w:hAnsi="Times New Roman" w:cs="Times New Roman"/>
          <w:sz w:val="20"/>
          <w:szCs w:val="20"/>
          <w:lang w:val="nl-NL"/>
        </w:rPr>
        <w:t>, rapport de l’Organe d’appel, § 158.</w:t>
      </w:r>
    </w:p>
  </w:footnote>
  <w:footnote w:id="230">
    <w:p w14:paraId="2C485C94" w14:textId="22839467" w:rsidR="00C14253" w:rsidRPr="00570190" w:rsidRDefault="00C14253" w:rsidP="004E4F7C">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xml:space="preserve">, §158; B. </w:t>
      </w:r>
      <w:r w:rsidRPr="00570190">
        <w:rPr>
          <w:rFonts w:ascii="Times New Roman" w:hAnsi="Times New Roman" w:cs="Times New Roman"/>
          <w:smallCaps/>
          <w:sz w:val="20"/>
          <w:szCs w:val="20"/>
        </w:rPr>
        <w:t xml:space="preserve">Stern, H. Ruiz Fabri, </w:t>
      </w:r>
      <w:r w:rsidRPr="00570190">
        <w:rPr>
          <w:rFonts w:ascii="Times New Roman" w:hAnsi="Times New Roman" w:cs="Times New Roman"/>
          <w:i/>
          <w:sz w:val="20"/>
          <w:szCs w:val="20"/>
        </w:rPr>
        <w:t>The Case-Law of the WTO, La jurisprudence de l’OMC, 1996-1997</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rPr>
        <w:t>, 2004, p. 96.</w:t>
      </w:r>
    </w:p>
  </w:footnote>
  <w:footnote w:id="231">
    <w:p w14:paraId="79FAE8A6" w14:textId="1DCAC1C0" w:rsidR="00C14253" w:rsidRPr="00570190" w:rsidRDefault="00C14253" w:rsidP="009A6B5E">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 xml:space="preserve">Ibid., </w:t>
      </w:r>
      <w:r w:rsidRPr="00570190">
        <w:rPr>
          <w:rFonts w:ascii="Times New Roman" w:hAnsi="Times New Roman" w:cs="Times New Roman"/>
          <w:sz w:val="20"/>
          <w:szCs w:val="20"/>
          <w:lang w:val="nl-NL"/>
        </w:rPr>
        <w:t xml:space="preserve">§ 159; B. </w:t>
      </w:r>
      <w:r w:rsidRPr="00570190">
        <w:rPr>
          <w:rFonts w:ascii="Times New Roman" w:hAnsi="Times New Roman" w:cs="Times New Roman"/>
          <w:smallCaps/>
          <w:sz w:val="20"/>
          <w:szCs w:val="20"/>
        </w:rPr>
        <w:t xml:space="preserve">Stern, H. Ruiz Fabri, </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The Case-Law of the WTO, La jurisprudence de l’OMC, op. cit., pp. 89-90.</w:t>
      </w:r>
    </w:p>
  </w:footnote>
  <w:footnote w:id="232">
    <w:p w14:paraId="29BC1806" w14:textId="18AC3EF0" w:rsidR="00C14253" w:rsidRPr="00570190" w:rsidRDefault="00C14253" w:rsidP="001D7F49">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Crevettes</w:t>
      </w:r>
      <w:r w:rsidRPr="00570190">
        <w:rPr>
          <w:rFonts w:ascii="Times New Roman" w:hAnsi="Times New Roman" w:cs="Times New Roman"/>
          <w:sz w:val="20"/>
          <w:szCs w:val="20"/>
          <w:lang w:val="nl-NL"/>
        </w:rPr>
        <w:t xml:space="preserve">, rapport de l’Organe d’appel, § 159; </w:t>
      </w:r>
      <w:r w:rsidRPr="00570190">
        <w:rPr>
          <w:rFonts w:ascii="Times New Roman" w:hAnsi="Times New Roman" w:cs="Times New Roman"/>
          <w:sz w:val="20"/>
          <w:szCs w:val="20"/>
        </w:rPr>
        <w:t xml:space="preserve">P. </w:t>
      </w:r>
      <w:r w:rsidRPr="00570190">
        <w:rPr>
          <w:rFonts w:ascii="Times New Roman" w:hAnsi="Times New Roman" w:cs="Times New Roman"/>
          <w:smallCaps/>
          <w:sz w:val="20"/>
          <w:szCs w:val="20"/>
        </w:rPr>
        <w:t>Van den Bossche</w:t>
      </w:r>
      <w:r w:rsidRPr="00570190">
        <w:rPr>
          <w:rFonts w:ascii="Times New Roman" w:hAnsi="Times New Roman" w:cs="Times New Roman"/>
          <w:sz w:val="20"/>
          <w:szCs w:val="20"/>
        </w:rPr>
        <w:t xml:space="preserve">, W. </w:t>
      </w:r>
      <w:r w:rsidRPr="00570190">
        <w:rPr>
          <w:rFonts w:ascii="Times New Roman" w:hAnsi="Times New Roman" w:cs="Times New Roman"/>
          <w:smallCaps/>
          <w:sz w:val="20"/>
          <w:szCs w:val="20"/>
        </w:rPr>
        <w:t>Zdouc</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578.</w:t>
      </w:r>
    </w:p>
  </w:footnote>
  <w:footnote w:id="233">
    <w:p w14:paraId="2FF2716D" w14:textId="1B321C0C" w:rsidR="00C14253" w:rsidRPr="00570190" w:rsidRDefault="00C14253" w:rsidP="008953AA">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J. Ngambi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 209 ; </w:t>
      </w:r>
      <w:r w:rsidRPr="00570190">
        <w:rPr>
          <w:rFonts w:ascii="Times New Roman" w:hAnsi="Times New Roman" w:cs="Times New Roman"/>
          <w:smallCaps/>
          <w:sz w:val="20"/>
          <w:szCs w:val="20"/>
        </w:rPr>
        <w:t>H. Ruiz Fabri</w:t>
      </w:r>
      <w:r w:rsidRPr="00570190">
        <w:rPr>
          <w:rFonts w:ascii="Times New Roman" w:hAnsi="Times New Roman" w:cs="Times New Roman"/>
          <w:sz w:val="20"/>
          <w:szCs w:val="20"/>
        </w:rPr>
        <w:t xml:space="preserve">, « Le juge de l’OMC : ombres et lumières d’une figure judiciaire singulière », </w:t>
      </w:r>
      <w:r w:rsidRPr="00570190">
        <w:rPr>
          <w:rFonts w:ascii="Times New Roman" w:hAnsi="Times New Roman" w:cs="Times New Roman"/>
          <w:i/>
          <w:sz w:val="20"/>
          <w:szCs w:val="20"/>
        </w:rPr>
        <w:t>RGDIP</w:t>
      </w:r>
      <w:r w:rsidRPr="00570190">
        <w:rPr>
          <w:rFonts w:ascii="Times New Roman" w:hAnsi="Times New Roman" w:cs="Times New Roman"/>
          <w:sz w:val="20"/>
          <w:szCs w:val="20"/>
        </w:rPr>
        <w:t xml:space="preserve">, 2006, n°1, pp. 62 et s. ; </w:t>
      </w:r>
      <w:r w:rsidRPr="00570190">
        <w:rPr>
          <w:rFonts w:ascii="Times New Roman" w:hAnsi="Times New Roman" w:cs="Times New Roman"/>
          <w:smallCaps/>
          <w:sz w:val="20"/>
          <w:szCs w:val="20"/>
        </w:rPr>
        <w:t>H. Ruiz Fabri</w:t>
      </w:r>
      <w:r w:rsidRPr="00570190">
        <w:rPr>
          <w:rFonts w:ascii="Times New Roman" w:hAnsi="Times New Roman" w:cs="Times New Roman"/>
          <w:sz w:val="20"/>
          <w:szCs w:val="20"/>
        </w:rPr>
        <w:t xml:space="preserve">, « Drawing a line of equilibrium in a complex world », in G. Sacerdoti, A. Yanovich, J. Bohanes, The WTO at ten : The Contribution of the Dispute Settlement System, Cambridge, Cambridge University Press, 2006, pp. 125-142 ; </w:t>
      </w:r>
    </w:p>
  </w:footnote>
  <w:footnote w:id="234">
    <w:p w14:paraId="02F634DF" w14:textId="674849DD" w:rsidR="00C14253" w:rsidRPr="00570190" w:rsidRDefault="00C14253" w:rsidP="00C663CB">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Essence</w:t>
      </w:r>
      <w:r w:rsidRPr="00570190">
        <w:rPr>
          <w:rFonts w:ascii="Times New Roman" w:hAnsi="Times New Roman" w:cs="Times New Roman"/>
          <w:sz w:val="20"/>
          <w:szCs w:val="20"/>
          <w:lang w:val="nl-NL"/>
        </w:rPr>
        <w:t xml:space="preserve">, rapport de l’Organe d’appel, p. 27.; </w:t>
      </w:r>
      <w:r w:rsidRPr="00570190">
        <w:rPr>
          <w:rFonts w:ascii="Times New Roman" w:hAnsi="Times New Roman" w:cs="Times New Roman"/>
          <w:sz w:val="20"/>
          <w:szCs w:val="20"/>
        </w:rPr>
        <w:t xml:space="preserve">World Trade Organization, </w:t>
      </w:r>
      <w:r w:rsidRPr="00570190">
        <w:rPr>
          <w:rFonts w:ascii="Times New Roman" w:hAnsi="Times New Roman" w:cs="Times New Roman"/>
          <w:i/>
          <w:sz w:val="20"/>
          <w:szCs w:val="20"/>
        </w:rPr>
        <w:t>WTO Analytical Index, Guide to WTO Law and Practice</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rPr>
        <w:t>p. 304.</w:t>
      </w:r>
    </w:p>
  </w:footnote>
  <w:footnote w:id="235">
    <w:p w14:paraId="4B272931" w14:textId="77777777" w:rsidR="00C14253" w:rsidRPr="00570190" w:rsidRDefault="00C14253" w:rsidP="00A44156">
      <w:pPr>
        <w:jc w:val="both"/>
        <w:rPr>
          <w:rFonts w:ascii="Times New Roman" w:hAnsi="Times New Roman" w:cs="Times New Roman"/>
          <w:sz w:val="20"/>
          <w:szCs w:val="20"/>
          <w:highlight w:val="cyan"/>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"États-Unis - Interdiction des importations de thon et de produits du thon en provenance du Canada", rapport adopté le 22 février 1982, IBDD, S29/96 (ci-après dénommé </w:t>
      </w:r>
      <w:r w:rsidRPr="00570190">
        <w:rPr>
          <w:rFonts w:ascii="Times New Roman" w:hAnsi="Times New Roman" w:cs="Times New Roman"/>
          <w:i/>
          <w:sz w:val="20"/>
          <w:szCs w:val="20"/>
        </w:rPr>
        <w:t>Thon 1982</w:t>
      </w:r>
      <w:r w:rsidRPr="00570190">
        <w:rPr>
          <w:rFonts w:ascii="Times New Roman" w:hAnsi="Times New Roman" w:cs="Times New Roman"/>
          <w:sz w:val="20"/>
          <w:szCs w:val="20"/>
        </w:rPr>
        <w:t>)</w:t>
      </w:r>
    </w:p>
  </w:footnote>
  <w:footnote w:id="236">
    <w:p w14:paraId="38642686" w14:textId="1F51C772" w:rsidR="00C14253" w:rsidRPr="00570190" w:rsidRDefault="00C14253" w:rsidP="00A44156">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 xml:space="preserve">Thon 1982, </w:t>
      </w:r>
      <w:r w:rsidRPr="00570190">
        <w:rPr>
          <w:rFonts w:ascii="Times New Roman" w:hAnsi="Times New Roman" w:cs="Times New Roman"/>
          <w:sz w:val="20"/>
          <w:szCs w:val="20"/>
          <w:lang w:val="nl-NL"/>
        </w:rPr>
        <w:t xml:space="preserve">rapport du Groupe spécial, §1.3; </w:t>
      </w:r>
      <w:r w:rsidRPr="00570190">
        <w:rPr>
          <w:rFonts w:ascii="Times New Roman" w:hAnsi="Times New Roman" w:cs="Times New Roman"/>
          <w:i/>
          <w:sz w:val="20"/>
          <w:szCs w:val="20"/>
        </w:rPr>
        <w:t>Guide des règles et pratiques du GATT, Index analytique</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lang w:val="nl-NL"/>
        </w:rPr>
        <w:t xml:space="preserve">, p. 610. </w:t>
      </w:r>
    </w:p>
  </w:footnote>
  <w:footnote w:id="237">
    <w:p w14:paraId="72DC00C2" w14:textId="53828C77" w:rsidR="00C14253" w:rsidRPr="00570190" w:rsidRDefault="00C14253" w:rsidP="00A44156">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Thon </w:t>
      </w:r>
      <w:r w:rsidRPr="00570190">
        <w:rPr>
          <w:rFonts w:ascii="Times New Roman" w:hAnsi="Times New Roman" w:cs="Times New Roman"/>
          <w:sz w:val="20"/>
          <w:szCs w:val="20"/>
        </w:rPr>
        <w:t xml:space="preserve">1982, </w:t>
      </w:r>
      <w:r w:rsidRPr="00570190">
        <w:rPr>
          <w:rFonts w:ascii="Times New Roman" w:hAnsi="Times New Roman" w:cs="Times New Roman"/>
          <w:sz w:val="20"/>
          <w:szCs w:val="20"/>
          <w:lang w:val="nl-NL"/>
        </w:rPr>
        <w:t>rapport du Groupe spécial, §§ 3.5. et  4.7.</w:t>
      </w:r>
    </w:p>
  </w:footnote>
  <w:footnote w:id="238">
    <w:p w14:paraId="7D160CC2" w14:textId="4356B523" w:rsidR="00C14253" w:rsidRPr="00570190" w:rsidRDefault="00C14253" w:rsidP="00A44156">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 4.8.</w:t>
      </w:r>
    </w:p>
  </w:footnote>
  <w:footnote w:id="239">
    <w:p w14:paraId="7CA027CD" w14:textId="52539350" w:rsidR="00C14253" w:rsidRPr="00570190" w:rsidRDefault="00C14253" w:rsidP="00C663CB">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M. </w:t>
      </w:r>
      <w:r w:rsidRPr="00570190">
        <w:rPr>
          <w:rFonts w:ascii="Times New Roman" w:hAnsi="Times New Roman" w:cs="Times New Roman"/>
          <w:smallCaps/>
          <w:sz w:val="20"/>
          <w:szCs w:val="20"/>
          <w:lang w:val="nl-NL"/>
        </w:rPr>
        <w:t>Prost</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p. 60.</w:t>
      </w:r>
    </w:p>
  </w:footnote>
  <w:footnote w:id="240">
    <w:p w14:paraId="51F45919" w14:textId="1D876D5F" w:rsidR="00C14253" w:rsidRPr="00570190" w:rsidRDefault="00C14253" w:rsidP="00A44156">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Etats-Unis – Importations de certains assemblages de ressorts pour automobiles »</w:t>
      </w:r>
      <w:r w:rsidRPr="00570190">
        <w:rPr>
          <w:rFonts w:ascii="Times New Roman" w:hAnsi="Times New Roman" w:cs="Times New Roman"/>
          <w:sz w:val="20"/>
          <w:szCs w:val="20"/>
        </w:rPr>
        <w:t>, rapport du Groupe spécial, §55. En l’espèce, le Groupe spécial a conclu que la mesure n’était « pas appliquée de façon à constituer un moyen de discrimination arbitraire ou injustifiée entre les pays où les mêmes conditions existent » car « elle est dirigée contre l’importation en provenance de pays étrangers, et pas seulement du Canada, de certains assemblages de ressorts pour automobiles produits en contrefaçon d’un brevet valide des Etats-Unis ».</w:t>
      </w:r>
    </w:p>
  </w:footnote>
  <w:footnote w:id="241">
    <w:p w14:paraId="0A79571C" w14:textId="1291308F"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M. </w:t>
      </w:r>
      <w:r w:rsidRPr="00570190">
        <w:rPr>
          <w:rFonts w:ascii="Times New Roman" w:hAnsi="Times New Roman" w:cs="Times New Roman"/>
          <w:smallCaps/>
          <w:sz w:val="20"/>
          <w:szCs w:val="20"/>
          <w:lang w:val="nl-NL"/>
        </w:rPr>
        <w:t>Prost</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p. 74.</w:t>
      </w:r>
    </w:p>
  </w:footnote>
  <w:footnote w:id="242">
    <w:p w14:paraId="260B0035" w14:textId="67DC80DA" w:rsidR="00C14253" w:rsidRPr="00570190" w:rsidRDefault="00C14253" w:rsidP="00A44156">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“Pratique du GATT/de l’OMC”, p. 7.</w:t>
      </w:r>
    </w:p>
  </w:footnote>
  <w:footnote w:id="243">
    <w:p w14:paraId="0F13A8DB" w14:textId="442E702F" w:rsidR="00C14253" w:rsidRPr="00570190" w:rsidRDefault="00C14253" w:rsidP="00A44156">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Thon 1982</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rapport du Groupe spécial, §§ 4.7 et 4.8.</w:t>
      </w:r>
    </w:p>
  </w:footnote>
  <w:footnote w:id="244">
    <w:p w14:paraId="41C1F105" w14:textId="77777777" w:rsidR="00C14253" w:rsidRPr="009F2261" w:rsidRDefault="00C14253" w:rsidP="00A44156">
      <w:pPr>
        <w:pStyle w:val="Notedebasdepage"/>
        <w:rPr>
          <w:rFonts w:ascii="Times New Roman" w:hAnsi="Times New Roman" w:cs="Times New Roman"/>
          <w:sz w:val="20"/>
          <w:szCs w:val="20"/>
          <w:lang w:val="nl-NL"/>
        </w:rPr>
      </w:pPr>
      <w:r w:rsidRPr="009F2261">
        <w:rPr>
          <w:rStyle w:val="Marquenotebasdepage"/>
          <w:rFonts w:ascii="Times New Roman" w:hAnsi="Times New Roman" w:cs="Times New Roman"/>
          <w:sz w:val="20"/>
          <w:szCs w:val="20"/>
        </w:rPr>
        <w:footnoteRef/>
      </w:r>
      <w:r w:rsidRPr="009F2261">
        <w:rPr>
          <w:rFonts w:ascii="Times New Roman" w:hAnsi="Times New Roman" w:cs="Times New Roman"/>
          <w:sz w:val="20"/>
          <w:szCs w:val="20"/>
        </w:rPr>
        <w:t xml:space="preserve"> Dans l’affaire </w:t>
      </w:r>
      <w:r w:rsidRPr="009F2261">
        <w:rPr>
          <w:rFonts w:ascii="Times New Roman" w:hAnsi="Times New Roman" w:cs="Times New Roman"/>
          <w:i/>
          <w:sz w:val="20"/>
          <w:szCs w:val="20"/>
        </w:rPr>
        <w:t>Essence</w:t>
      </w:r>
      <w:r w:rsidRPr="009F2261">
        <w:rPr>
          <w:rFonts w:ascii="Times New Roman" w:hAnsi="Times New Roman" w:cs="Times New Roman"/>
          <w:sz w:val="20"/>
          <w:szCs w:val="20"/>
        </w:rPr>
        <w:t>, la Cour ne retiendra pas cette interprétation en ce sens que l’Organe d’appel indiquera qu’une restriction ou discrimination cachée ou non annoncée n’épuise pas le sens de l’expression « restriction déguisée ». L’élément fondamental se trouve dans le « but et l’objet qui sont d’éviter l’abus ou l’utilisation illégitime des exceptions aux règles de fond prévues à l’article XX ».</w:t>
      </w:r>
    </w:p>
  </w:footnote>
  <w:footnote w:id="245">
    <w:p w14:paraId="48482BE6" w14:textId="59DD6842" w:rsidR="00C14253" w:rsidRPr="009F2261" w:rsidRDefault="00C14253" w:rsidP="00A44156">
      <w:pPr>
        <w:pStyle w:val="Notedebasdepage"/>
        <w:rPr>
          <w:rFonts w:ascii="Times New Roman" w:hAnsi="Times New Roman" w:cs="Times New Roman"/>
          <w:sz w:val="20"/>
          <w:szCs w:val="20"/>
          <w:lang w:val="nl-NL"/>
        </w:rPr>
      </w:pPr>
      <w:r w:rsidRPr="009F2261">
        <w:rPr>
          <w:rStyle w:val="Marquenotebasdepage"/>
          <w:rFonts w:ascii="Times New Roman" w:hAnsi="Times New Roman" w:cs="Times New Roman"/>
          <w:sz w:val="20"/>
          <w:szCs w:val="20"/>
        </w:rPr>
        <w:footnoteRef/>
      </w:r>
      <w:r w:rsidRPr="009F2261">
        <w:rPr>
          <w:rFonts w:ascii="Times New Roman" w:hAnsi="Times New Roman" w:cs="Times New Roman"/>
          <w:sz w:val="20"/>
          <w:szCs w:val="20"/>
        </w:rPr>
        <w:t xml:space="preserve"> E. </w:t>
      </w:r>
      <w:r w:rsidRPr="009F2261">
        <w:rPr>
          <w:rFonts w:ascii="Times New Roman" w:hAnsi="Times New Roman" w:cs="Times New Roman"/>
          <w:smallCaps/>
          <w:sz w:val="20"/>
          <w:szCs w:val="20"/>
        </w:rPr>
        <w:t xml:space="preserve">Canal-Forgues, T. Flory, </w:t>
      </w:r>
      <w:r w:rsidRPr="009F2261">
        <w:rPr>
          <w:rFonts w:ascii="Times New Roman" w:hAnsi="Times New Roman" w:cs="Times New Roman"/>
          <w:i/>
          <w:sz w:val="20"/>
          <w:szCs w:val="20"/>
          <w:lang w:val="nl-NL"/>
        </w:rPr>
        <w:t>op. cit.</w:t>
      </w:r>
      <w:r w:rsidRPr="009F2261">
        <w:rPr>
          <w:rFonts w:ascii="Times New Roman" w:hAnsi="Times New Roman" w:cs="Times New Roman"/>
          <w:sz w:val="20"/>
          <w:szCs w:val="20"/>
          <w:lang w:val="nl-NL"/>
        </w:rPr>
        <w:t>, p. 139.</w:t>
      </w:r>
    </w:p>
  </w:footnote>
  <w:footnote w:id="246">
    <w:p w14:paraId="6756FC14" w14:textId="4E3C3908" w:rsidR="00C14253" w:rsidRPr="009F2261" w:rsidRDefault="00C14253" w:rsidP="00072172">
      <w:pPr>
        <w:pStyle w:val="Notedebasdepage"/>
        <w:rPr>
          <w:rFonts w:ascii="Times New Roman" w:hAnsi="Times New Roman" w:cs="Times New Roman"/>
          <w:iCs/>
          <w:sz w:val="20"/>
          <w:szCs w:val="20"/>
          <w:lang w:val="nl-NL"/>
        </w:rPr>
      </w:pPr>
      <w:r w:rsidRPr="009F2261">
        <w:rPr>
          <w:rStyle w:val="Marquenotebasdepage"/>
          <w:rFonts w:ascii="Times New Roman" w:hAnsi="Times New Roman" w:cs="Times New Roman"/>
          <w:sz w:val="20"/>
          <w:szCs w:val="20"/>
        </w:rPr>
        <w:footnoteRef/>
      </w:r>
      <w:r w:rsidRPr="009F2261">
        <w:rPr>
          <w:rFonts w:ascii="Times New Roman" w:hAnsi="Times New Roman" w:cs="Times New Roman"/>
          <w:sz w:val="20"/>
          <w:szCs w:val="20"/>
        </w:rPr>
        <w:t xml:space="preserve"> </w:t>
      </w:r>
      <w:r w:rsidRPr="009F2261">
        <w:rPr>
          <w:rFonts w:ascii="Times New Roman" w:hAnsi="Times New Roman" w:cs="Times New Roman"/>
          <w:i/>
          <w:sz w:val="20"/>
          <w:szCs w:val="20"/>
        </w:rPr>
        <w:t>Essence</w:t>
      </w:r>
      <w:r w:rsidRPr="009F2261">
        <w:rPr>
          <w:rFonts w:ascii="Times New Roman" w:hAnsi="Times New Roman" w:cs="Times New Roman"/>
          <w:sz w:val="20"/>
          <w:szCs w:val="20"/>
        </w:rPr>
        <w:t xml:space="preserve">, rapport du Groupe spécial, </w:t>
      </w:r>
      <w:r w:rsidRPr="009F2261">
        <w:rPr>
          <w:rFonts w:ascii="Times New Roman" w:hAnsi="Times New Roman" w:cs="Times New Roman"/>
          <w:sz w:val="20"/>
          <w:szCs w:val="20"/>
          <w:lang w:val="nl-NL"/>
        </w:rPr>
        <w:t xml:space="preserve">p. 28;  </w:t>
      </w:r>
      <w:r w:rsidRPr="009F2261">
        <w:rPr>
          <w:rFonts w:ascii="Times New Roman" w:hAnsi="Times New Roman" w:cs="Times New Roman"/>
          <w:sz w:val="20"/>
          <w:szCs w:val="20"/>
        </w:rPr>
        <w:t xml:space="preserve">World Trade Organization, </w:t>
      </w:r>
      <w:r w:rsidRPr="009F2261">
        <w:rPr>
          <w:rFonts w:ascii="Times New Roman" w:hAnsi="Times New Roman" w:cs="Times New Roman"/>
          <w:i/>
          <w:sz w:val="20"/>
          <w:szCs w:val="20"/>
        </w:rPr>
        <w:t>WTO Analytical Index, Guide to WTO Law and Practice</w:t>
      </w:r>
      <w:r w:rsidRPr="009F2261">
        <w:rPr>
          <w:rFonts w:ascii="Times New Roman" w:hAnsi="Times New Roman" w:cs="Times New Roman"/>
          <w:sz w:val="20"/>
          <w:szCs w:val="20"/>
        </w:rPr>
        <w:t xml:space="preserve">, p. 306 ; S. </w:t>
      </w:r>
      <w:r w:rsidRPr="009F2261">
        <w:rPr>
          <w:rFonts w:ascii="Times New Roman" w:hAnsi="Times New Roman" w:cs="Times New Roman"/>
          <w:smallCaps/>
          <w:sz w:val="20"/>
          <w:szCs w:val="20"/>
        </w:rPr>
        <w:t xml:space="preserve">Zlepting, </w:t>
      </w:r>
      <w:r w:rsidRPr="009F2261">
        <w:rPr>
          <w:rFonts w:ascii="Times New Roman" w:hAnsi="Times New Roman" w:cs="Times New Roman"/>
          <w:i/>
          <w:iCs/>
          <w:sz w:val="20"/>
          <w:szCs w:val="20"/>
        </w:rPr>
        <w:t xml:space="preserve">op. cit., </w:t>
      </w:r>
      <w:r w:rsidRPr="009F2261">
        <w:rPr>
          <w:rFonts w:ascii="Times New Roman" w:hAnsi="Times New Roman" w:cs="Times New Roman"/>
          <w:iCs/>
          <w:sz w:val="20"/>
          <w:szCs w:val="20"/>
        </w:rPr>
        <w:t>p. 281.</w:t>
      </w:r>
    </w:p>
  </w:footnote>
  <w:footnote w:id="247">
    <w:p w14:paraId="0EA0039A" w14:textId="4ECE696A" w:rsidR="00C14253" w:rsidRPr="009F2261" w:rsidRDefault="00C14253">
      <w:pPr>
        <w:pStyle w:val="Notedebasdepage"/>
        <w:rPr>
          <w:rFonts w:ascii="Times New Roman" w:hAnsi="Times New Roman" w:cs="Times New Roman"/>
          <w:sz w:val="20"/>
          <w:szCs w:val="20"/>
          <w:lang w:val="nl-NL"/>
        </w:rPr>
      </w:pPr>
      <w:r w:rsidRPr="009F2261">
        <w:rPr>
          <w:rStyle w:val="Marquenotebasdepage"/>
          <w:rFonts w:ascii="Times New Roman" w:hAnsi="Times New Roman" w:cs="Times New Roman"/>
          <w:sz w:val="20"/>
          <w:szCs w:val="20"/>
        </w:rPr>
        <w:footnoteRef/>
      </w:r>
      <w:r w:rsidRPr="009F2261">
        <w:rPr>
          <w:rFonts w:ascii="Times New Roman" w:hAnsi="Times New Roman" w:cs="Times New Roman"/>
          <w:sz w:val="20"/>
          <w:szCs w:val="20"/>
        </w:rPr>
        <w:t xml:space="preserve"> E. </w:t>
      </w:r>
      <w:r w:rsidRPr="009F2261">
        <w:rPr>
          <w:rFonts w:ascii="Times New Roman" w:hAnsi="Times New Roman" w:cs="Times New Roman"/>
          <w:smallCaps/>
          <w:sz w:val="20"/>
          <w:szCs w:val="20"/>
        </w:rPr>
        <w:t xml:space="preserve">Canal-Forgues, T. Flory, </w:t>
      </w:r>
      <w:r w:rsidRPr="009F2261">
        <w:rPr>
          <w:rFonts w:ascii="Times New Roman" w:hAnsi="Times New Roman" w:cs="Times New Roman"/>
          <w:i/>
          <w:sz w:val="20"/>
          <w:szCs w:val="20"/>
          <w:lang w:val="nl-NL"/>
        </w:rPr>
        <w:t>op. cit.</w:t>
      </w:r>
      <w:r w:rsidRPr="009F2261">
        <w:rPr>
          <w:rFonts w:ascii="Times New Roman" w:hAnsi="Times New Roman" w:cs="Times New Roman"/>
          <w:sz w:val="20"/>
          <w:szCs w:val="20"/>
          <w:lang w:val="nl-NL"/>
        </w:rPr>
        <w:t xml:space="preserve">,, </w:t>
      </w:r>
      <w:r w:rsidRPr="009F2261">
        <w:rPr>
          <w:rFonts w:ascii="Times New Roman" w:hAnsi="Times New Roman" w:cs="Times New Roman"/>
          <w:i/>
          <w:sz w:val="20"/>
          <w:szCs w:val="20"/>
        </w:rPr>
        <w:t>Guide des règles et pratiques du GATT, Index analytique</w:t>
      </w:r>
      <w:r w:rsidRPr="009F2261">
        <w:rPr>
          <w:rFonts w:ascii="Times New Roman" w:hAnsi="Times New Roman" w:cs="Times New Roman"/>
          <w:sz w:val="20"/>
          <w:szCs w:val="20"/>
        </w:rPr>
        <w:t xml:space="preserve">, </w:t>
      </w:r>
    </w:p>
  </w:footnote>
  <w:footnote w:id="248">
    <w:p w14:paraId="29296AAA" w14:textId="598A5EB6" w:rsidR="00C14253" w:rsidRPr="00570190" w:rsidRDefault="00C14253" w:rsidP="001D7F49">
      <w:pPr>
        <w:rPr>
          <w:rFonts w:ascii="Times New Roman" w:hAnsi="Times New Roman" w:cs="Times New Roman"/>
          <w:sz w:val="20"/>
          <w:szCs w:val="20"/>
        </w:rPr>
      </w:pPr>
      <w:r w:rsidRPr="009F2261">
        <w:rPr>
          <w:rStyle w:val="Marquenotebasdepage"/>
          <w:rFonts w:ascii="Times New Roman" w:hAnsi="Times New Roman" w:cs="Times New Roman"/>
          <w:sz w:val="20"/>
          <w:szCs w:val="20"/>
        </w:rPr>
        <w:footnoteRef/>
      </w:r>
      <w:r w:rsidRPr="009F2261">
        <w:rPr>
          <w:rFonts w:ascii="Times New Roman" w:hAnsi="Times New Roman" w:cs="Times New Roman"/>
          <w:sz w:val="20"/>
          <w:szCs w:val="20"/>
        </w:rPr>
        <w:t xml:space="preserve"> </w:t>
      </w:r>
      <w:r w:rsidRPr="009F2261">
        <w:rPr>
          <w:rFonts w:ascii="Times New Roman" w:hAnsi="Times New Roman" w:cs="Times New Roman"/>
          <w:i/>
          <w:sz w:val="20"/>
          <w:szCs w:val="20"/>
          <w:lang w:val="nl-NL"/>
        </w:rPr>
        <w:t>Essence</w:t>
      </w:r>
      <w:r w:rsidRPr="009F2261">
        <w:rPr>
          <w:rFonts w:ascii="Times New Roman" w:hAnsi="Times New Roman" w:cs="Times New Roman"/>
          <w:sz w:val="20"/>
          <w:szCs w:val="20"/>
          <w:lang w:val="nl-NL"/>
        </w:rPr>
        <w:t xml:space="preserve">, rapport de l’Organe d’appel, p. 28; </w:t>
      </w:r>
      <w:r w:rsidRPr="009F2261">
        <w:rPr>
          <w:rFonts w:ascii="Times New Roman" w:hAnsi="Times New Roman" w:cs="Times New Roman"/>
          <w:sz w:val="20"/>
          <w:szCs w:val="20"/>
        </w:rPr>
        <w:t xml:space="preserve">P. </w:t>
      </w:r>
      <w:r w:rsidRPr="009F2261">
        <w:rPr>
          <w:rFonts w:ascii="Times New Roman" w:hAnsi="Times New Roman" w:cs="Times New Roman"/>
          <w:smallCaps/>
          <w:sz w:val="20"/>
          <w:szCs w:val="20"/>
        </w:rPr>
        <w:t>Van den Bossche</w:t>
      </w:r>
      <w:r w:rsidRPr="009F2261">
        <w:rPr>
          <w:rFonts w:ascii="Times New Roman" w:hAnsi="Times New Roman" w:cs="Times New Roman"/>
          <w:sz w:val="20"/>
          <w:szCs w:val="20"/>
        </w:rPr>
        <w:t xml:space="preserve">, W. </w:t>
      </w:r>
      <w:r w:rsidRPr="009F2261">
        <w:rPr>
          <w:rFonts w:ascii="Times New Roman" w:hAnsi="Times New Roman" w:cs="Times New Roman"/>
          <w:smallCaps/>
          <w:sz w:val="20"/>
          <w:szCs w:val="20"/>
        </w:rPr>
        <w:t>Zdouc</w:t>
      </w:r>
      <w:r w:rsidRPr="009F2261">
        <w:rPr>
          <w:rFonts w:ascii="Times New Roman" w:hAnsi="Times New Roman" w:cs="Times New Roman"/>
          <w:sz w:val="20"/>
          <w:szCs w:val="20"/>
        </w:rPr>
        <w:t xml:space="preserve">, </w:t>
      </w:r>
      <w:r w:rsidRPr="009F2261">
        <w:rPr>
          <w:rFonts w:ascii="Times New Roman" w:hAnsi="Times New Roman" w:cs="Times New Roman"/>
          <w:i/>
          <w:sz w:val="20"/>
          <w:szCs w:val="20"/>
        </w:rPr>
        <w:t>op. cit</w:t>
      </w:r>
      <w:r w:rsidRPr="009F2261">
        <w:rPr>
          <w:rFonts w:ascii="Times New Roman" w:hAnsi="Times New Roman" w:cs="Times New Roman"/>
          <w:sz w:val="20"/>
          <w:szCs w:val="20"/>
        </w:rPr>
        <w:t>., p. 573.</w:t>
      </w:r>
      <w:r w:rsidRPr="00570190">
        <w:rPr>
          <w:rFonts w:ascii="Times New Roman" w:hAnsi="Times New Roman" w:cs="Times New Roman"/>
          <w:sz w:val="20"/>
          <w:szCs w:val="20"/>
        </w:rPr>
        <w:t xml:space="preserve"> </w:t>
      </w:r>
    </w:p>
  </w:footnote>
  <w:footnote w:id="249">
    <w:p w14:paraId="539B47DA" w14:textId="4FCCA227" w:rsidR="00C14253" w:rsidRPr="00570190" w:rsidRDefault="00C14253" w:rsidP="00C12EF2">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Essence</w:t>
      </w:r>
      <w:r w:rsidRPr="00570190">
        <w:rPr>
          <w:rFonts w:ascii="Times New Roman" w:hAnsi="Times New Roman" w:cs="Times New Roman"/>
          <w:sz w:val="20"/>
          <w:szCs w:val="20"/>
        </w:rPr>
        <w:t>, rapport de l’Organe d’appel, p</w:t>
      </w:r>
      <w:r w:rsidRPr="00570190">
        <w:rPr>
          <w:rFonts w:ascii="Times New Roman" w:hAnsi="Times New Roman" w:cs="Times New Roman"/>
          <w:sz w:val="20"/>
          <w:szCs w:val="20"/>
          <w:lang w:val="nl-NL"/>
        </w:rPr>
        <w:t xml:space="preserve">. 28 </w:t>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lang w:val="nl-NL"/>
        </w:rPr>
        <w:t xml:space="preserve">G. </w:t>
      </w:r>
      <w:r w:rsidRPr="00570190">
        <w:rPr>
          <w:rFonts w:ascii="Times New Roman" w:hAnsi="Times New Roman" w:cs="Times New Roman"/>
          <w:smallCaps/>
          <w:sz w:val="20"/>
          <w:szCs w:val="20"/>
        </w:rPr>
        <w:t>Van Calster</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rPr>
        <w:t xml:space="preserve">p. </w:t>
      </w:r>
      <w:r w:rsidRPr="00570190">
        <w:rPr>
          <w:rFonts w:ascii="Times New Roman" w:hAnsi="Times New Roman" w:cs="Times New Roman"/>
          <w:i/>
          <w:sz w:val="20"/>
          <w:szCs w:val="20"/>
        </w:rPr>
        <w:t xml:space="preserve">75 ; </w:t>
      </w:r>
      <w:r w:rsidRPr="00570190">
        <w:rPr>
          <w:rFonts w:ascii="Times New Roman" w:hAnsi="Times New Roman" w:cs="Times New Roman"/>
          <w:sz w:val="20"/>
          <w:szCs w:val="20"/>
        </w:rPr>
        <w:t xml:space="preserve">P. </w:t>
      </w:r>
      <w:r w:rsidRPr="00570190">
        <w:rPr>
          <w:rFonts w:ascii="Times New Roman" w:hAnsi="Times New Roman" w:cs="Times New Roman"/>
          <w:smallCaps/>
          <w:sz w:val="20"/>
          <w:szCs w:val="20"/>
        </w:rPr>
        <w:t>Van den Bossche</w:t>
      </w:r>
      <w:r w:rsidRPr="00570190">
        <w:rPr>
          <w:rFonts w:ascii="Times New Roman" w:hAnsi="Times New Roman" w:cs="Times New Roman"/>
          <w:sz w:val="20"/>
          <w:szCs w:val="20"/>
        </w:rPr>
        <w:t xml:space="preserve">, W. </w:t>
      </w:r>
      <w:r w:rsidRPr="00570190">
        <w:rPr>
          <w:rFonts w:ascii="Times New Roman" w:hAnsi="Times New Roman" w:cs="Times New Roman"/>
          <w:smallCaps/>
          <w:sz w:val="20"/>
          <w:szCs w:val="20"/>
        </w:rPr>
        <w:t>Zdouc</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 573. </w:t>
      </w:r>
    </w:p>
  </w:footnote>
  <w:footnote w:id="250">
    <w:p w14:paraId="6847BA38" w14:textId="1486E3B3" w:rsidR="00C14253" w:rsidRPr="00570190" w:rsidRDefault="00C14253" w:rsidP="00C12EF2">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P. </w:t>
      </w:r>
      <w:r w:rsidRPr="00570190">
        <w:rPr>
          <w:rFonts w:ascii="Times New Roman" w:hAnsi="Times New Roman" w:cs="Times New Roman"/>
          <w:smallCaps/>
          <w:sz w:val="20"/>
          <w:szCs w:val="20"/>
        </w:rPr>
        <w:t>Van den Bossche</w:t>
      </w:r>
      <w:r w:rsidRPr="00570190">
        <w:rPr>
          <w:rFonts w:ascii="Times New Roman" w:hAnsi="Times New Roman" w:cs="Times New Roman"/>
          <w:sz w:val="20"/>
          <w:szCs w:val="20"/>
        </w:rPr>
        <w:t xml:space="preserve">, W. </w:t>
      </w:r>
      <w:r w:rsidRPr="00570190">
        <w:rPr>
          <w:rFonts w:ascii="Times New Roman" w:hAnsi="Times New Roman" w:cs="Times New Roman"/>
          <w:smallCaps/>
          <w:sz w:val="20"/>
          <w:szCs w:val="20"/>
        </w:rPr>
        <w:t>Zdouc</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577.</w:t>
      </w:r>
    </w:p>
  </w:footnote>
  <w:footnote w:id="251">
    <w:p w14:paraId="451ECDFB" w14:textId="05590433"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p. 577.</w:t>
      </w:r>
    </w:p>
  </w:footnote>
  <w:footnote w:id="252">
    <w:p w14:paraId="26DC6B3F" w14:textId="151248CC"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p. 577.</w:t>
      </w:r>
    </w:p>
  </w:footnote>
  <w:footnote w:id="253">
    <w:p w14:paraId="05AE07E3" w14:textId="1B359ECA"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rPr>
        <w:t xml:space="preserve"> Ibid., </w:t>
      </w:r>
      <w:r w:rsidRPr="00570190">
        <w:rPr>
          <w:rFonts w:ascii="Times New Roman" w:hAnsi="Times New Roman" w:cs="Times New Roman"/>
          <w:sz w:val="20"/>
          <w:szCs w:val="20"/>
        </w:rPr>
        <w:t>p. 577.</w:t>
      </w:r>
    </w:p>
  </w:footnote>
  <w:footnote w:id="254">
    <w:p w14:paraId="328374E0" w14:textId="284888EB"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Essence</w:t>
      </w:r>
      <w:r w:rsidRPr="00570190">
        <w:rPr>
          <w:rFonts w:ascii="Times New Roman" w:hAnsi="Times New Roman" w:cs="Times New Roman"/>
          <w:sz w:val="20"/>
          <w:szCs w:val="20"/>
        </w:rPr>
        <w:t>, rapport de l’Organe d’appel, p. 32.</w:t>
      </w:r>
    </w:p>
  </w:footnote>
  <w:footnote w:id="255">
    <w:p w14:paraId="10991975" w14:textId="77777777" w:rsidR="00C14253" w:rsidRPr="00570190" w:rsidRDefault="00C14253" w:rsidP="00C12EF2">
      <w:pPr>
        <w:pStyle w:val="Notedebasdepage"/>
        <w:rPr>
          <w:rFonts w:ascii="Times New Roman" w:hAnsi="Times New Roman" w:cs="Times New Roman"/>
          <w:sz w:val="20"/>
          <w:szCs w:val="20"/>
          <w:lang w:val="nl-NL"/>
        </w:rPr>
      </w:pPr>
      <w:r w:rsidRPr="009F2261">
        <w:rPr>
          <w:rStyle w:val="Marquenotebasdepage"/>
          <w:rFonts w:ascii="Times New Roman" w:hAnsi="Times New Roman" w:cs="Times New Roman"/>
          <w:sz w:val="20"/>
          <w:szCs w:val="20"/>
        </w:rPr>
        <w:footnoteRef/>
      </w:r>
      <w:r w:rsidRPr="009F2261">
        <w:rPr>
          <w:rFonts w:ascii="Times New Roman" w:hAnsi="Times New Roman" w:cs="Times New Roman"/>
          <w:sz w:val="20"/>
          <w:szCs w:val="20"/>
        </w:rPr>
        <w:t xml:space="preserve"> </w:t>
      </w:r>
      <w:r w:rsidRPr="009F2261">
        <w:rPr>
          <w:rFonts w:ascii="Times New Roman" w:hAnsi="Times New Roman" w:cs="Times New Roman"/>
          <w:i/>
          <w:sz w:val="20"/>
          <w:szCs w:val="20"/>
        </w:rPr>
        <w:t>Pratique du GATT/de l’OMC en matière de règlement des différends se rapportant à l’article XX, paragraphes b), d) et g) du GATT</w:t>
      </w:r>
      <w:r w:rsidRPr="009F2261">
        <w:rPr>
          <w:rFonts w:ascii="Times New Roman" w:hAnsi="Times New Roman" w:cs="Times New Roman"/>
          <w:sz w:val="20"/>
          <w:szCs w:val="20"/>
        </w:rPr>
        <w:t>, Comité du Commerce et de l’environnement, Note du Secrétariat, Organisation Mondiale du Commerce, WT/CTE/W/53/Rev.1., 26 octobre 1998</w:t>
      </w:r>
      <w:r w:rsidRPr="009F2261">
        <w:rPr>
          <w:rFonts w:ascii="Times New Roman" w:hAnsi="Times New Roman" w:cs="Times New Roman"/>
          <w:sz w:val="20"/>
          <w:szCs w:val="20"/>
          <w:lang w:val="nl-NL"/>
        </w:rPr>
        <w:t>, p. 9. Notons que cette source sera mentionné ainsi “Pratique du GATT/de l’OMC” dans les notes infrapaginales ultérieures.</w:t>
      </w:r>
    </w:p>
  </w:footnote>
  <w:footnote w:id="256">
    <w:p w14:paraId="44BAC0FD" w14:textId="5EF8EEFB" w:rsidR="00C14253" w:rsidRPr="00570190" w:rsidRDefault="00C14253" w:rsidP="00BF73F5">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Essence</w:t>
      </w:r>
      <w:r w:rsidRPr="00570190">
        <w:rPr>
          <w:rFonts w:ascii="Times New Roman" w:hAnsi="Times New Roman" w:cs="Times New Roman"/>
          <w:sz w:val="20"/>
          <w:szCs w:val="20"/>
          <w:lang w:val="nl-NL"/>
        </w:rPr>
        <w:t>, rapport de l’Organe d’appel, p. 25.</w:t>
      </w:r>
    </w:p>
  </w:footnote>
  <w:footnote w:id="257">
    <w:p w14:paraId="0912BDD7" w14:textId="387269AD"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lang w:val="nl-NL"/>
        </w:rPr>
        <w:t xml:space="preserve"> Ibid.</w:t>
      </w:r>
      <w:r w:rsidRPr="00570190">
        <w:rPr>
          <w:rFonts w:ascii="Times New Roman" w:hAnsi="Times New Roman" w:cs="Times New Roman"/>
          <w:sz w:val="20"/>
          <w:szCs w:val="20"/>
          <w:lang w:val="nl-NL"/>
        </w:rPr>
        <w:t>, pp. 25 et 26.</w:t>
      </w:r>
    </w:p>
  </w:footnote>
  <w:footnote w:id="258">
    <w:p w14:paraId="72A73ED4" w14:textId="677A76BA"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p. 26.</w:t>
      </w:r>
    </w:p>
  </w:footnote>
  <w:footnote w:id="259">
    <w:p w14:paraId="3CF233E3" w14:textId="7FA79D5C" w:rsidR="00C14253" w:rsidRPr="00570190" w:rsidRDefault="00C14253" w:rsidP="00BA7691">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Crevettes</w:t>
      </w:r>
      <w:r w:rsidRPr="00570190">
        <w:rPr>
          <w:rFonts w:ascii="Times New Roman" w:hAnsi="Times New Roman" w:cs="Times New Roman"/>
          <w:sz w:val="20"/>
          <w:szCs w:val="20"/>
        </w:rPr>
        <w:t xml:space="preserve">, rapport du Groupe spécial, § 7.26 ; </w:t>
      </w:r>
      <w:r w:rsidRPr="00570190">
        <w:rPr>
          <w:rFonts w:ascii="Times New Roman" w:hAnsi="Times New Roman" w:cs="Times New Roman"/>
          <w:sz w:val="20"/>
          <w:szCs w:val="20"/>
          <w:lang w:val="nl-NL"/>
        </w:rPr>
        <w:t>”Pratique du GATT/de l’OMC”</w:t>
      </w:r>
      <w:r w:rsidRPr="00570190">
        <w:rPr>
          <w:rFonts w:ascii="Times New Roman" w:hAnsi="Times New Roman" w:cs="Times New Roman"/>
          <w:sz w:val="20"/>
          <w:szCs w:val="20"/>
        </w:rPr>
        <w:t xml:space="preserve">, p. 9. </w:t>
      </w:r>
    </w:p>
  </w:footnote>
  <w:footnote w:id="260">
    <w:p w14:paraId="32BD635B" w14:textId="55195511" w:rsidR="00C14253" w:rsidRPr="00917D30" w:rsidRDefault="00C14253" w:rsidP="00E04136">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”Pratique du GATT/de l’OMC”, </w:t>
      </w:r>
      <w:r w:rsidRPr="00570190">
        <w:rPr>
          <w:rFonts w:ascii="Times New Roman" w:hAnsi="Times New Roman" w:cs="Times New Roman"/>
          <w:sz w:val="20"/>
          <w:szCs w:val="20"/>
        </w:rPr>
        <w:t xml:space="preserve">p. 9 ; </w:t>
      </w:r>
      <w:r w:rsidRPr="00917D30">
        <w:rPr>
          <w:rFonts w:ascii="Times New Roman" w:hAnsi="Times New Roman" w:cs="Times New Roman"/>
          <w:sz w:val="20"/>
          <w:szCs w:val="20"/>
        </w:rPr>
        <w:t xml:space="preserve">World Trade Organization, </w:t>
      </w:r>
      <w:r w:rsidRPr="00917D30">
        <w:rPr>
          <w:rFonts w:ascii="Times New Roman" w:hAnsi="Times New Roman" w:cs="Times New Roman"/>
          <w:i/>
          <w:sz w:val="20"/>
          <w:szCs w:val="20"/>
        </w:rPr>
        <w:t>WTO Analytical Index, Guide to WTO Law and Practice</w:t>
      </w:r>
      <w:r w:rsidRPr="00917D30">
        <w:rPr>
          <w:rFonts w:ascii="Times New Roman" w:hAnsi="Times New Roman" w:cs="Times New Roman"/>
          <w:sz w:val="20"/>
          <w:szCs w:val="20"/>
        </w:rPr>
        <w:t xml:space="preserve">, </w:t>
      </w:r>
      <w:r w:rsidRPr="00917D30">
        <w:rPr>
          <w:rFonts w:ascii="Times New Roman" w:hAnsi="Times New Roman" w:cs="Times New Roman"/>
          <w:i/>
          <w:sz w:val="20"/>
          <w:szCs w:val="20"/>
        </w:rPr>
        <w:t>op. cit.</w:t>
      </w:r>
      <w:r w:rsidRPr="00917D30">
        <w:rPr>
          <w:rFonts w:ascii="Times New Roman" w:hAnsi="Times New Roman" w:cs="Times New Roman"/>
          <w:sz w:val="20"/>
          <w:szCs w:val="20"/>
        </w:rPr>
        <w:t>, p. 307.</w:t>
      </w:r>
    </w:p>
  </w:footnote>
  <w:footnote w:id="261">
    <w:p w14:paraId="2699765F" w14:textId="797F6B69" w:rsidR="00C14253" w:rsidRPr="00570190" w:rsidRDefault="00C14253" w:rsidP="000B6F2C">
      <w:pPr>
        <w:pStyle w:val="Notedebasdepage"/>
        <w:rPr>
          <w:rFonts w:ascii="Times New Roman" w:hAnsi="Times New Roman" w:cs="Times New Roman"/>
          <w:sz w:val="20"/>
          <w:szCs w:val="20"/>
          <w:lang w:val="nl-NL"/>
        </w:rPr>
      </w:pPr>
      <w:r w:rsidRPr="00917D30">
        <w:rPr>
          <w:rStyle w:val="Marquenotebasdepage"/>
          <w:rFonts w:ascii="Times New Roman" w:hAnsi="Times New Roman" w:cs="Times New Roman"/>
          <w:sz w:val="20"/>
          <w:szCs w:val="20"/>
        </w:rPr>
        <w:footnoteRef/>
      </w:r>
      <w:r w:rsidRPr="00917D30">
        <w:rPr>
          <w:rFonts w:ascii="Times New Roman" w:hAnsi="Times New Roman" w:cs="Times New Roman"/>
          <w:sz w:val="20"/>
          <w:szCs w:val="20"/>
        </w:rPr>
        <w:t xml:space="preserve"> </w:t>
      </w:r>
      <w:r w:rsidRPr="00917D30">
        <w:rPr>
          <w:rFonts w:ascii="Times New Roman" w:hAnsi="Times New Roman" w:cs="Times New Roman"/>
          <w:i/>
          <w:sz w:val="20"/>
          <w:szCs w:val="20"/>
          <w:lang w:val="nl-NL"/>
        </w:rPr>
        <w:t>Crevettes</w:t>
      </w:r>
      <w:r w:rsidRPr="00917D30">
        <w:rPr>
          <w:rFonts w:ascii="Times New Roman" w:hAnsi="Times New Roman" w:cs="Times New Roman"/>
          <w:sz w:val="20"/>
          <w:szCs w:val="20"/>
          <w:lang w:val="nl-NL"/>
        </w:rPr>
        <w:t>, rapport du Groupe spécial, §7.26</w:t>
      </w:r>
      <w:r w:rsidRPr="00570190">
        <w:rPr>
          <w:rFonts w:ascii="Times New Roman" w:hAnsi="Times New Roman" w:cs="Times New Roman"/>
          <w:sz w:val="20"/>
          <w:szCs w:val="20"/>
          <w:lang w:val="nl-NL"/>
        </w:rPr>
        <w:t xml:space="preserve">. à §7.33; H. </w:t>
      </w:r>
      <w:r w:rsidRPr="00570190">
        <w:rPr>
          <w:rFonts w:ascii="Times New Roman" w:hAnsi="Times New Roman" w:cs="Times New Roman"/>
          <w:smallCaps/>
          <w:sz w:val="20"/>
          <w:szCs w:val="20"/>
        </w:rPr>
        <w:t>Jackson John, H.</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312.</w:t>
      </w:r>
    </w:p>
  </w:footnote>
  <w:footnote w:id="262">
    <w:p w14:paraId="685EEBF5" w14:textId="364EE964" w:rsidR="00C14253" w:rsidRPr="00570190" w:rsidRDefault="00C14253" w:rsidP="000B6F2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“Pratique du GATT/de l’OMC”,  </w:t>
      </w:r>
      <w:r w:rsidRPr="00570190">
        <w:rPr>
          <w:rFonts w:ascii="Times New Roman" w:hAnsi="Times New Roman" w:cs="Times New Roman"/>
          <w:sz w:val="20"/>
          <w:szCs w:val="20"/>
        </w:rPr>
        <w:t xml:space="preserve">p. 9 ; </w:t>
      </w:r>
      <w:r w:rsidRPr="00570190">
        <w:rPr>
          <w:rFonts w:ascii="Times New Roman" w:hAnsi="Times New Roman" w:cs="Times New Roman"/>
          <w:sz w:val="20"/>
          <w:szCs w:val="20"/>
          <w:lang w:val="nl-NL"/>
        </w:rPr>
        <w:t xml:space="preserve">H. </w:t>
      </w:r>
      <w:r w:rsidRPr="00570190">
        <w:rPr>
          <w:rFonts w:ascii="Times New Roman" w:hAnsi="Times New Roman" w:cs="Times New Roman"/>
          <w:smallCaps/>
          <w:sz w:val="20"/>
          <w:szCs w:val="20"/>
        </w:rPr>
        <w:t>Jackson John, H.</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313.</w:t>
      </w:r>
    </w:p>
  </w:footnote>
  <w:footnote w:id="263">
    <w:p w14:paraId="1C8F00DB" w14:textId="667EE049" w:rsidR="00C14253" w:rsidRPr="00570190" w:rsidRDefault="00C14253" w:rsidP="000B6F2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 xml:space="preserve">Ibid., </w:t>
      </w:r>
      <w:r w:rsidRPr="00570190">
        <w:rPr>
          <w:rFonts w:ascii="Times New Roman" w:hAnsi="Times New Roman" w:cs="Times New Roman"/>
          <w:sz w:val="20"/>
          <w:szCs w:val="20"/>
          <w:lang w:val="nl-NL"/>
        </w:rPr>
        <w:t>p. 9.</w:t>
      </w:r>
    </w:p>
  </w:footnote>
  <w:footnote w:id="264">
    <w:p w14:paraId="352085C9" w14:textId="2C6F396C" w:rsidR="00C14253" w:rsidRPr="00570190" w:rsidRDefault="00C14253" w:rsidP="000B6F2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 xml:space="preserve">Ibid., </w:t>
      </w:r>
      <w:r w:rsidRPr="00570190">
        <w:rPr>
          <w:rFonts w:ascii="Times New Roman" w:hAnsi="Times New Roman" w:cs="Times New Roman"/>
          <w:sz w:val="20"/>
          <w:szCs w:val="20"/>
          <w:lang w:val="nl-NL"/>
        </w:rPr>
        <w:t>p. 9.</w:t>
      </w:r>
    </w:p>
  </w:footnote>
  <w:footnote w:id="265">
    <w:p w14:paraId="223D93B4" w14:textId="0F0D7126"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Crevettes</w:t>
      </w:r>
      <w:r w:rsidRPr="00570190">
        <w:rPr>
          <w:rFonts w:ascii="Times New Roman" w:hAnsi="Times New Roman" w:cs="Times New Roman"/>
          <w:sz w:val="20"/>
          <w:szCs w:val="20"/>
          <w:lang w:val="nl-NL"/>
        </w:rPr>
        <w:t>, rapport du Groupe spécial, §115.</w:t>
      </w:r>
    </w:p>
  </w:footnote>
  <w:footnote w:id="266">
    <w:p w14:paraId="07504BA7" w14:textId="6B8A6065"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 xml:space="preserve">Ibid., </w:t>
      </w:r>
      <w:r w:rsidRPr="00570190">
        <w:rPr>
          <w:rFonts w:ascii="Times New Roman" w:hAnsi="Times New Roman" w:cs="Times New Roman"/>
          <w:sz w:val="20"/>
          <w:szCs w:val="20"/>
          <w:lang w:val="nl-NL"/>
        </w:rPr>
        <w:t>§ 115.</w:t>
      </w:r>
    </w:p>
  </w:footnote>
  <w:footnote w:id="267">
    <w:p w14:paraId="4C0BC8D9" w14:textId="128E9DA9" w:rsidR="00C14253" w:rsidRPr="00570190" w:rsidRDefault="00C14253" w:rsidP="00941AFB">
      <w:pPr>
        <w:jc w:val="both"/>
        <w:rPr>
          <w:rFonts w:ascii="Times New Roman" w:hAnsi="Times New Roman" w:cs="Times New Roman"/>
          <w:sz w:val="20"/>
          <w:szCs w:val="20"/>
        </w:rPr>
      </w:pPr>
      <w:r w:rsidRPr="009F2261">
        <w:rPr>
          <w:rStyle w:val="Marquenotebasdepage"/>
          <w:rFonts w:ascii="Times New Roman" w:hAnsi="Times New Roman" w:cs="Times New Roman"/>
          <w:sz w:val="20"/>
          <w:szCs w:val="20"/>
        </w:rPr>
        <w:footnoteRef/>
      </w:r>
      <w:r w:rsidRPr="009F2261">
        <w:rPr>
          <w:rFonts w:ascii="Times New Roman" w:hAnsi="Times New Roman" w:cs="Times New Roman"/>
          <w:sz w:val="20"/>
          <w:szCs w:val="20"/>
        </w:rPr>
        <w:t xml:space="preserve"> Comme l’énonce l’Organe d’appel dans l’affaire Essence, l’article XX « doit être lu dans son contexte et de manière à donner effet aux objets et aux buts de l’Accord général » et que « le but et l’objet des clauses introductives de l’article XX est généralement de prévenir « l’abus des exceptions énumérées à (…) l’article XX » ». énoncées à plusieurs reprises par l’Organe d’appel notamment dans l’affaire Essence ; B. </w:t>
      </w:r>
      <w:r w:rsidRPr="009F2261">
        <w:rPr>
          <w:rFonts w:ascii="Times New Roman" w:hAnsi="Times New Roman" w:cs="Times New Roman"/>
          <w:smallCaps/>
          <w:sz w:val="20"/>
          <w:szCs w:val="20"/>
        </w:rPr>
        <w:t>Stern, H.</w:t>
      </w:r>
      <w:r w:rsidRPr="00570190">
        <w:rPr>
          <w:rFonts w:ascii="Times New Roman" w:hAnsi="Times New Roman" w:cs="Times New Roman"/>
          <w:smallCaps/>
          <w:sz w:val="20"/>
          <w:szCs w:val="20"/>
        </w:rPr>
        <w:t xml:space="preserve"> Ruiz Fabri, </w:t>
      </w:r>
      <w:r w:rsidRPr="00570190">
        <w:rPr>
          <w:rFonts w:ascii="Times New Roman" w:hAnsi="Times New Roman" w:cs="Times New Roman"/>
          <w:i/>
          <w:sz w:val="20"/>
          <w:szCs w:val="20"/>
        </w:rPr>
        <w:t>The Case-Law of the WTO, La jurisprudence de l’OMC, 1996-1997</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rPr>
        <w:t xml:space="preserve">pp. 91-92. </w:t>
      </w:r>
    </w:p>
  </w:footnote>
  <w:footnote w:id="268">
    <w:p w14:paraId="0AD5ADB2" w14:textId="7B461D47"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lang w:val="nl-NL"/>
        </w:rPr>
        <w:t>Crevettes</w:t>
      </w:r>
      <w:r w:rsidRPr="00570190">
        <w:rPr>
          <w:rFonts w:ascii="Times New Roman" w:hAnsi="Times New Roman" w:cs="Times New Roman"/>
          <w:sz w:val="20"/>
          <w:szCs w:val="20"/>
          <w:lang w:val="nl-NL"/>
        </w:rPr>
        <w:t>, rapport de l’Organe d’appel, § 115.</w:t>
      </w:r>
    </w:p>
  </w:footnote>
  <w:footnote w:id="269">
    <w:p w14:paraId="7B24FECD" w14:textId="5C4CDF83" w:rsidR="00C14253" w:rsidRPr="00570190" w:rsidRDefault="00C14253" w:rsidP="000B6F2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Crevettes</w:t>
      </w:r>
      <w:r w:rsidRPr="00570190">
        <w:rPr>
          <w:rFonts w:ascii="Times New Roman" w:hAnsi="Times New Roman" w:cs="Times New Roman"/>
          <w:sz w:val="20"/>
          <w:szCs w:val="20"/>
          <w:lang w:val="nl-NL"/>
        </w:rPr>
        <w:t xml:space="preserve">, rapport de l’Organe d’appel, § 116; E. </w:t>
      </w:r>
      <w:r w:rsidRPr="00570190">
        <w:rPr>
          <w:rFonts w:ascii="Times New Roman" w:hAnsi="Times New Roman" w:cs="Times New Roman"/>
          <w:smallCaps/>
          <w:sz w:val="20"/>
          <w:szCs w:val="20"/>
        </w:rPr>
        <w:t xml:space="preserve">Canal-Forgues, T. Flory,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xml:space="preserve">, p. </w:t>
      </w:r>
      <w:r w:rsidRPr="009F2261">
        <w:rPr>
          <w:rFonts w:ascii="Times New Roman" w:hAnsi="Times New Roman" w:cs="Times New Roman"/>
          <w:sz w:val="20"/>
          <w:szCs w:val="20"/>
          <w:lang w:val="nl-NL"/>
        </w:rPr>
        <w:t xml:space="preserve">981. </w:t>
      </w:r>
    </w:p>
  </w:footnote>
  <w:footnote w:id="270">
    <w:p w14:paraId="1344FFC7" w14:textId="386984E8"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Crevettes</w:t>
      </w:r>
      <w:r w:rsidRPr="00570190">
        <w:rPr>
          <w:rFonts w:ascii="Times New Roman" w:hAnsi="Times New Roman" w:cs="Times New Roman"/>
          <w:sz w:val="20"/>
          <w:szCs w:val="20"/>
          <w:lang w:val="nl-NL"/>
        </w:rPr>
        <w:t xml:space="preserve">, rapport de l’Organe d’appel, § 116; E. </w:t>
      </w:r>
      <w:r w:rsidRPr="00570190">
        <w:rPr>
          <w:rFonts w:ascii="Times New Roman" w:hAnsi="Times New Roman" w:cs="Times New Roman"/>
          <w:smallCaps/>
          <w:sz w:val="20"/>
          <w:szCs w:val="20"/>
        </w:rPr>
        <w:t xml:space="preserve">Canal-Forgues, T. Flory,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p. 981.</w:t>
      </w:r>
    </w:p>
  </w:footnote>
  <w:footnote w:id="271">
    <w:p w14:paraId="554FF3BC" w14:textId="7515563E" w:rsidR="00C14253" w:rsidRPr="00570190" w:rsidRDefault="00C14253" w:rsidP="000B6F2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lang w:val="nl-NL"/>
        </w:rPr>
        <w:t xml:space="preserve"> Ibid.</w:t>
      </w:r>
      <w:r w:rsidRPr="00570190">
        <w:rPr>
          <w:rFonts w:ascii="Times New Roman" w:hAnsi="Times New Roman" w:cs="Times New Roman"/>
          <w:sz w:val="20"/>
          <w:szCs w:val="20"/>
          <w:lang w:val="nl-NL"/>
        </w:rPr>
        <w:t xml:space="preserve"> , § 166.</w:t>
      </w:r>
    </w:p>
  </w:footnote>
  <w:footnote w:id="272">
    <w:p w14:paraId="110C0945" w14:textId="2DD70C5D" w:rsidR="00C14253" w:rsidRPr="00570190" w:rsidRDefault="00C14253" w:rsidP="000B6F2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 xml:space="preserve">Ibid., </w:t>
      </w:r>
      <w:r w:rsidRPr="00570190">
        <w:rPr>
          <w:rFonts w:ascii="Times New Roman" w:hAnsi="Times New Roman" w:cs="Times New Roman"/>
          <w:sz w:val="20"/>
          <w:szCs w:val="20"/>
          <w:lang w:val="nl-NL"/>
        </w:rPr>
        <w:t xml:space="preserve">§ 116; E. </w:t>
      </w:r>
      <w:r w:rsidRPr="00570190">
        <w:rPr>
          <w:rFonts w:ascii="Times New Roman" w:hAnsi="Times New Roman" w:cs="Times New Roman"/>
          <w:smallCaps/>
          <w:sz w:val="20"/>
          <w:szCs w:val="20"/>
        </w:rPr>
        <w:t>Canal-Forgues, T. Flory</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 xml:space="preserve">op. cit., </w:t>
      </w:r>
      <w:r w:rsidRPr="00570190">
        <w:rPr>
          <w:rFonts w:ascii="Times New Roman" w:hAnsi="Times New Roman" w:cs="Times New Roman"/>
          <w:sz w:val="20"/>
          <w:szCs w:val="20"/>
          <w:lang w:val="nl-NL"/>
        </w:rPr>
        <w:t>p. 989.</w:t>
      </w:r>
    </w:p>
  </w:footnote>
  <w:footnote w:id="273">
    <w:p w14:paraId="15CC5145" w14:textId="2465B07D" w:rsidR="00C14253" w:rsidRPr="00570190" w:rsidRDefault="00C14253" w:rsidP="000B6F2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E. </w:t>
      </w:r>
      <w:r w:rsidRPr="00570190">
        <w:rPr>
          <w:rFonts w:ascii="Times New Roman" w:hAnsi="Times New Roman" w:cs="Times New Roman"/>
          <w:smallCaps/>
          <w:sz w:val="20"/>
          <w:szCs w:val="20"/>
        </w:rPr>
        <w:t>Canal-Forgues, T. Flory</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 xml:space="preserve">op. cit., </w:t>
      </w:r>
      <w:r w:rsidRPr="00570190">
        <w:rPr>
          <w:rFonts w:ascii="Times New Roman" w:hAnsi="Times New Roman" w:cs="Times New Roman"/>
          <w:sz w:val="20"/>
          <w:szCs w:val="20"/>
          <w:lang w:val="nl-NL"/>
        </w:rPr>
        <w:t>pp. 989 et 990.</w:t>
      </w:r>
    </w:p>
  </w:footnote>
  <w:footnote w:id="274">
    <w:p w14:paraId="21DEDC60" w14:textId="18AC0582"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pp. 989 et 990.</w:t>
      </w:r>
    </w:p>
  </w:footnote>
  <w:footnote w:id="275">
    <w:p w14:paraId="4FA2EF61" w14:textId="57872163"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pp. 989 et 990.</w:t>
      </w:r>
    </w:p>
  </w:footnote>
  <w:footnote w:id="276">
    <w:p w14:paraId="5A567631" w14:textId="1CDD62CC" w:rsidR="00C14253" w:rsidRPr="00570190" w:rsidRDefault="00C14253" w:rsidP="000B6F2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”Pratique du GATT/de l’OMC”,</w:t>
      </w:r>
      <w:r w:rsidRPr="00570190">
        <w:rPr>
          <w:rFonts w:ascii="Times New Roman" w:hAnsi="Times New Roman" w:cs="Times New Roman"/>
          <w:sz w:val="20"/>
          <w:szCs w:val="20"/>
        </w:rPr>
        <w:t xml:space="preserve"> p. 12; E. </w:t>
      </w:r>
      <w:r w:rsidRPr="00570190">
        <w:rPr>
          <w:rFonts w:ascii="Times New Roman" w:hAnsi="Times New Roman" w:cs="Times New Roman"/>
          <w:smallCaps/>
          <w:sz w:val="20"/>
          <w:szCs w:val="20"/>
        </w:rPr>
        <w:t>Canal-Forgues, T. Flory,</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w:t>
      </w:r>
      <w:r w:rsidRPr="00570190">
        <w:rPr>
          <w:rFonts w:ascii="Times New Roman" w:hAnsi="Times New Roman" w:cs="Times New Roman"/>
          <w:sz w:val="20"/>
          <w:szCs w:val="20"/>
          <w:lang w:val="nl-NL"/>
        </w:rPr>
        <w:t xml:space="preserve"> p. 278.</w:t>
      </w:r>
    </w:p>
  </w:footnote>
  <w:footnote w:id="277">
    <w:p w14:paraId="4201237F" w14:textId="50CC51DE" w:rsidR="00C14253" w:rsidRPr="00570190" w:rsidRDefault="00C14253" w:rsidP="000B6F2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”Pratique du GATT/de l’OMC”, p. 12; E. </w:t>
      </w:r>
      <w:r w:rsidRPr="00570190">
        <w:rPr>
          <w:rFonts w:ascii="Times New Roman" w:hAnsi="Times New Roman" w:cs="Times New Roman"/>
          <w:smallCaps/>
          <w:sz w:val="20"/>
          <w:szCs w:val="20"/>
        </w:rPr>
        <w:t xml:space="preserve">Canal-Forgues, T. Flory,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xml:space="preserve">, pp. 278 et 279. </w:t>
      </w:r>
    </w:p>
  </w:footnote>
  <w:footnote w:id="278">
    <w:p w14:paraId="40BB95FB" w14:textId="4AAC8454" w:rsidR="00C14253" w:rsidRPr="00570190" w:rsidRDefault="00C14253" w:rsidP="006B2694">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E. </w:t>
      </w:r>
      <w:r w:rsidRPr="00570190">
        <w:rPr>
          <w:rFonts w:ascii="Times New Roman" w:hAnsi="Times New Roman" w:cs="Times New Roman"/>
          <w:smallCaps/>
          <w:sz w:val="20"/>
          <w:szCs w:val="20"/>
        </w:rPr>
        <w:t>Canal-Forgues, T. Flory,</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lang w:val="nl-NL"/>
        </w:rPr>
        <w:t xml:space="preserve">pp. 279. ; </w:t>
      </w:r>
      <w:r w:rsidRPr="00570190">
        <w:rPr>
          <w:rFonts w:ascii="Times New Roman" w:hAnsi="Times New Roman" w:cs="Times New Roman"/>
          <w:i/>
          <w:sz w:val="20"/>
          <w:szCs w:val="20"/>
          <w:lang w:val="nl-NL"/>
        </w:rPr>
        <w:t>Crevettes</w:t>
      </w:r>
      <w:r w:rsidRPr="00570190">
        <w:rPr>
          <w:rFonts w:ascii="Times New Roman" w:hAnsi="Times New Roman" w:cs="Times New Roman"/>
          <w:sz w:val="20"/>
          <w:szCs w:val="20"/>
          <w:lang w:val="nl-NL"/>
        </w:rPr>
        <w:t>, rapport de l’Organe d’appel, § 164.</w:t>
      </w:r>
    </w:p>
  </w:footnote>
  <w:footnote w:id="279">
    <w:p w14:paraId="7295AF89" w14:textId="1E2F6ACB" w:rsidR="00C14253" w:rsidRPr="00570190" w:rsidRDefault="00C14253" w:rsidP="000B6F2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”Pratique du GATT/de l’OMC”,  p. 12.</w:t>
      </w:r>
    </w:p>
  </w:footnote>
  <w:footnote w:id="280">
    <w:p w14:paraId="737C0072" w14:textId="44779446" w:rsidR="00C14253" w:rsidRPr="00570190" w:rsidRDefault="00C14253" w:rsidP="000B6F2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p. 12.</w:t>
      </w:r>
    </w:p>
  </w:footnote>
  <w:footnote w:id="281">
    <w:p w14:paraId="67D86DB7" w14:textId="7083E3F4"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lang w:val="nl-NL"/>
        </w:rPr>
        <w:t xml:space="preserve"> Crevettes</w:t>
      </w:r>
      <w:r w:rsidRPr="00570190">
        <w:rPr>
          <w:rFonts w:ascii="Times New Roman" w:hAnsi="Times New Roman" w:cs="Times New Roman"/>
          <w:sz w:val="20"/>
          <w:szCs w:val="20"/>
          <w:lang w:val="nl-NL"/>
        </w:rPr>
        <w:t>, rapport de l’Organe d’appel, § 166.</w:t>
      </w:r>
    </w:p>
  </w:footnote>
  <w:footnote w:id="282">
    <w:p w14:paraId="3F129200" w14:textId="0ECD018D" w:rsidR="00C14253" w:rsidRPr="00570190" w:rsidRDefault="00C14253" w:rsidP="009623F1">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B. </w:t>
      </w:r>
      <w:r w:rsidRPr="00570190">
        <w:rPr>
          <w:rFonts w:ascii="Times New Roman" w:hAnsi="Times New Roman" w:cs="Times New Roman"/>
          <w:smallCaps/>
          <w:sz w:val="20"/>
          <w:szCs w:val="20"/>
        </w:rPr>
        <w:t>Stern, H. Ruiz Fabri, H.</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The Case-Law of the WTO, La jurisprudence de l’OMC, 1996-1997</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101.</w:t>
      </w:r>
    </w:p>
  </w:footnote>
  <w:footnote w:id="283">
    <w:p w14:paraId="772A01FB" w14:textId="77777777" w:rsidR="00C14253" w:rsidRPr="00570190" w:rsidRDefault="00C14253" w:rsidP="000B6F2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Crevettes,</w:t>
      </w:r>
      <w:r w:rsidRPr="00570190">
        <w:rPr>
          <w:rFonts w:ascii="Times New Roman" w:hAnsi="Times New Roman" w:cs="Times New Roman"/>
          <w:sz w:val="20"/>
          <w:szCs w:val="20"/>
          <w:lang w:val="nl-NL"/>
        </w:rPr>
        <w:t xml:space="preserve"> rapport de l’Organe d’appel, §§166 à 172.</w:t>
      </w:r>
    </w:p>
  </w:footnote>
  <w:footnote w:id="284">
    <w:p w14:paraId="219B0208" w14:textId="2DFF5696" w:rsidR="00C14253" w:rsidRPr="00570190" w:rsidRDefault="00C14253" w:rsidP="000B6F2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 174.</w:t>
      </w:r>
    </w:p>
  </w:footnote>
  <w:footnote w:id="285">
    <w:p w14:paraId="52A9AC85" w14:textId="2383200B" w:rsidR="00C14253" w:rsidRPr="00570190" w:rsidRDefault="00C14253" w:rsidP="000B6F2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xml:space="preserve"> § 175.</w:t>
      </w:r>
    </w:p>
  </w:footnote>
  <w:footnote w:id="286">
    <w:p w14:paraId="524C4C52" w14:textId="2E508DFD" w:rsidR="00C14253" w:rsidRPr="00570190" w:rsidRDefault="00C14253" w:rsidP="000B6F2C">
      <w:pPr>
        <w:pStyle w:val="Notedebasdepage"/>
        <w:rPr>
          <w:rFonts w:ascii="Times New Roman" w:hAnsi="Times New Roman" w:cs="Times New Roman"/>
          <w:iCs/>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xml:space="preserve">, §177; S. </w:t>
      </w:r>
      <w:r w:rsidRPr="00570190">
        <w:rPr>
          <w:rFonts w:ascii="Times New Roman" w:hAnsi="Times New Roman" w:cs="Times New Roman"/>
          <w:smallCaps/>
          <w:sz w:val="20"/>
          <w:szCs w:val="20"/>
        </w:rPr>
        <w:t xml:space="preserve">Zlepting, </w:t>
      </w:r>
      <w:r w:rsidRPr="00570190">
        <w:rPr>
          <w:rFonts w:ascii="Times New Roman" w:hAnsi="Times New Roman" w:cs="Times New Roman"/>
          <w:i/>
          <w:iCs/>
          <w:sz w:val="20"/>
          <w:szCs w:val="20"/>
        </w:rPr>
        <w:t xml:space="preserve">op. cit., </w:t>
      </w:r>
      <w:r w:rsidRPr="00570190">
        <w:rPr>
          <w:rFonts w:ascii="Times New Roman" w:hAnsi="Times New Roman" w:cs="Times New Roman"/>
          <w:iCs/>
          <w:sz w:val="20"/>
          <w:szCs w:val="20"/>
        </w:rPr>
        <w:t>pp. 285 et 286.</w:t>
      </w:r>
    </w:p>
  </w:footnote>
  <w:footnote w:id="287">
    <w:p w14:paraId="5418D61B" w14:textId="67DD6035" w:rsidR="00C14253" w:rsidRPr="00570190" w:rsidRDefault="00C14253" w:rsidP="00E04136">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World Trade Organization, </w:t>
      </w:r>
      <w:r w:rsidRPr="00570190">
        <w:rPr>
          <w:rFonts w:ascii="Times New Roman" w:hAnsi="Times New Roman" w:cs="Times New Roman"/>
          <w:i/>
          <w:sz w:val="20"/>
          <w:szCs w:val="20"/>
        </w:rPr>
        <w:t>WTO Analytical Index, Guide to WTO Law and Practice</w:t>
      </w:r>
      <w:r w:rsidRPr="00570190">
        <w:rPr>
          <w:rFonts w:ascii="Times New Roman" w:hAnsi="Times New Roman" w:cs="Times New Roman"/>
          <w:sz w:val="20"/>
          <w:szCs w:val="20"/>
        </w:rPr>
        <w:t>, p. 307.</w:t>
      </w:r>
    </w:p>
  </w:footnote>
  <w:footnote w:id="288">
    <w:p w14:paraId="57DAAE5C" w14:textId="5D0233B6" w:rsidR="00C14253" w:rsidRPr="00570190" w:rsidRDefault="00C14253" w:rsidP="000B6F2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 178 à 183.: ”Pratique du GATT/de l’OMC”, p. 13.</w:t>
      </w:r>
    </w:p>
  </w:footnote>
  <w:footnote w:id="289">
    <w:p w14:paraId="7B5FF67B" w14:textId="4A463EA0" w:rsidR="00C14253" w:rsidRPr="00570190" w:rsidRDefault="00C14253" w:rsidP="000B6F2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 178 à 183.; ”Pratique du GATT/de l’OMC”, p. 13.</w:t>
      </w:r>
    </w:p>
  </w:footnote>
  <w:footnote w:id="290">
    <w:p w14:paraId="4211D307" w14:textId="41873006"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World Trade Organization, </w:t>
      </w:r>
      <w:r w:rsidRPr="00570190">
        <w:rPr>
          <w:rFonts w:ascii="Times New Roman" w:hAnsi="Times New Roman" w:cs="Times New Roman"/>
          <w:i/>
          <w:sz w:val="20"/>
          <w:szCs w:val="20"/>
        </w:rPr>
        <w:t xml:space="preserve">WTO Analytical Index, Guide to WTO Law and Practice, op. cit., </w:t>
      </w:r>
      <w:r w:rsidRPr="00570190">
        <w:rPr>
          <w:rFonts w:ascii="Times New Roman" w:hAnsi="Times New Roman" w:cs="Times New Roman"/>
          <w:sz w:val="20"/>
          <w:szCs w:val="20"/>
        </w:rPr>
        <w:t>p. 310.</w:t>
      </w:r>
    </w:p>
  </w:footnote>
  <w:footnote w:id="291">
    <w:p w14:paraId="5EBEEAD6" w14:textId="77777777" w:rsidR="00C14253" w:rsidRPr="00570190" w:rsidRDefault="00C14253" w:rsidP="000B6F2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xml:space="preserve"> , § 184.</w:t>
      </w:r>
    </w:p>
  </w:footnote>
  <w:footnote w:id="292">
    <w:p w14:paraId="5D4400FC" w14:textId="49351EAF" w:rsidR="00C14253" w:rsidRPr="00080648" w:rsidRDefault="00C14253" w:rsidP="000B6F2C">
      <w:pPr>
        <w:pStyle w:val="Notedebasdepage"/>
        <w:rPr>
          <w:rFonts w:ascii="Times New Roman" w:hAnsi="Times New Roman" w:cs="Times New Roman"/>
          <w:sz w:val="20"/>
          <w:szCs w:val="20"/>
          <w:lang w:val="nl-NL"/>
        </w:rPr>
      </w:pPr>
      <w:r w:rsidRPr="00080648">
        <w:rPr>
          <w:rStyle w:val="Marquenotebasdepage"/>
          <w:rFonts w:ascii="Times New Roman" w:hAnsi="Times New Roman" w:cs="Times New Roman"/>
          <w:sz w:val="20"/>
          <w:szCs w:val="20"/>
        </w:rPr>
        <w:footnoteRef/>
      </w:r>
      <w:r w:rsidRPr="00080648">
        <w:rPr>
          <w:rFonts w:ascii="Times New Roman" w:hAnsi="Times New Roman" w:cs="Times New Roman"/>
          <w:sz w:val="20"/>
          <w:szCs w:val="20"/>
        </w:rPr>
        <w:t xml:space="preserve">  E. </w:t>
      </w:r>
      <w:r w:rsidRPr="00080648">
        <w:rPr>
          <w:rFonts w:ascii="Times New Roman" w:hAnsi="Times New Roman" w:cs="Times New Roman"/>
          <w:smallCaps/>
          <w:sz w:val="20"/>
          <w:szCs w:val="20"/>
        </w:rPr>
        <w:t xml:space="preserve">Canal-Forgues, T. Flory, </w:t>
      </w:r>
      <w:r w:rsidRPr="00080648">
        <w:rPr>
          <w:rFonts w:ascii="Times New Roman" w:hAnsi="Times New Roman" w:cs="Times New Roman"/>
          <w:i/>
          <w:sz w:val="20"/>
          <w:szCs w:val="20"/>
        </w:rPr>
        <w:t>op. cit.,</w:t>
      </w:r>
      <w:r w:rsidRPr="00080648">
        <w:rPr>
          <w:rFonts w:ascii="Times New Roman" w:hAnsi="Times New Roman" w:cs="Times New Roman"/>
          <w:sz w:val="20"/>
          <w:szCs w:val="20"/>
          <w:lang w:val="nl-NL"/>
        </w:rPr>
        <w:t xml:space="preserve"> p. 989.</w:t>
      </w:r>
    </w:p>
  </w:footnote>
  <w:footnote w:id="293">
    <w:p w14:paraId="1AF9F1BE" w14:textId="77777777" w:rsidR="00C14253" w:rsidRPr="00080648" w:rsidRDefault="00C14253" w:rsidP="00080648">
      <w:pPr>
        <w:pStyle w:val="Notedebasdepage"/>
        <w:rPr>
          <w:rFonts w:ascii="Times New Roman" w:hAnsi="Times New Roman" w:cs="Times New Roman"/>
          <w:sz w:val="20"/>
          <w:szCs w:val="20"/>
          <w:lang w:val="nl-NL"/>
        </w:rPr>
      </w:pPr>
      <w:r w:rsidRPr="00080648">
        <w:rPr>
          <w:rStyle w:val="Marquenotebasdepage"/>
          <w:rFonts w:ascii="Times New Roman" w:hAnsi="Times New Roman" w:cs="Times New Roman"/>
          <w:sz w:val="20"/>
          <w:szCs w:val="20"/>
        </w:rPr>
        <w:footnoteRef/>
      </w:r>
      <w:r w:rsidRPr="00080648">
        <w:rPr>
          <w:rFonts w:ascii="Times New Roman" w:hAnsi="Times New Roman" w:cs="Times New Roman"/>
          <w:sz w:val="20"/>
          <w:szCs w:val="20"/>
        </w:rPr>
        <w:t xml:space="preserve"> </w:t>
      </w:r>
      <w:r w:rsidRPr="00080648">
        <w:rPr>
          <w:rFonts w:ascii="Times New Roman" w:hAnsi="Times New Roman" w:cs="Times New Roman"/>
          <w:i/>
          <w:sz w:val="20"/>
          <w:szCs w:val="20"/>
          <w:lang w:val="nl-NL"/>
        </w:rPr>
        <w:t>Amiante</w:t>
      </w:r>
      <w:r w:rsidRPr="00080648">
        <w:rPr>
          <w:rFonts w:ascii="Times New Roman" w:hAnsi="Times New Roman" w:cs="Times New Roman"/>
          <w:sz w:val="20"/>
          <w:szCs w:val="20"/>
          <w:lang w:val="nl-NL"/>
        </w:rPr>
        <w:t>, rapport du Groupe spécial, § 8.233.</w:t>
      </w:r>
    </w:p>
  </w:footnote>
  <w:footnote w:id="294">
    <w:p w14:paraId="01BBB4DC" w14:textId="77777777" w:rsidR="00C14253" w:rsidRPr="00080648" w:rsidRDefault="00C14253" w:rsidP="00080648">
      <w:pPr>
        <w:pStyle w:val="Notedebasdepage"/>
        <w:rPr>
          <w:rFonts w:ascii="Times New Roman" w:hAnsi="Times New Roman" w:cs="Times New Roman"/>
          <w:sz w:val="20"/>
          <w:szCs w:val="20"/>
          <w:lang w:val="nl-NL"/>
        </w:rPr>
      </w:pPr>
      <w:r w:rsidRPr="00080648">
        <w:rPr>
          <w:rStyle w:val="Marquenotebasdepage"/>
          <w:rFonts w:ascii="Times New Roman" w:hAnsi="Times New Roman" w:cs="Times New Roman"/>
          <w:sz w:val="20"/>
          <w:szCs w:val="20"/>
        </w:rPr>
        <w:footnoteRef/>
      </w:r>
      <w:r w:rsidRPr="00080648">
        <w:rPr>
          <w:rFonts w:ascii="Times New Roman" w:hAnsi="Times New Roman" w:cs="Times New Roman"/>
          <w:sz w:val="20"/>
          <w:szCs w:val="20"/>
        </w:rPr>
        <w:t xml:space="preserve"> S. </w:t>
      </w:r>
      <w:r w:rsidRPr="00080648">
        <w:rPr>
          <w:rFonts w:ascii="Times New Roman" w:hAnsi="Times New Roman" w:cs="Times New Roman"/>
          <w:smallCaps/>
          <w:sz w:val="20"/>
          <w:szCs w:val="20"/>
        </w:rPr>
        <w:t xml:space="preserve">Maljean-Dubois, </w:t>
      </w:r>
      <w:r w:rsidRPr="00080648">
        <w:rPr>
          <w:rFonts w:ascii="Times New Roman" w:hAnsi="Times New Roman" w:cs="Times New Roman"/>
          <w:i/>
          <w:sz w:val="20"/>
          <w:szCs w:val="20"/>
        </w:rPr>
        <w:t>op. cit.</w:t>
      </w:r>
      <w:r w:rsidRPr="00080648">
        <w:rPr>
          <w:rFonts w:ascii="Times New Roman" w:hAnsi="Times New Roman" w:cs="Times New Roman"/>
          <w:sz w:val="20"/>
          <w:szCs w:val="20"/>
        </w:rPr>
        <w:t>, p. 47.</w:t>
      </w:r>
    </w:p>
  </w:footnote>
  <w:footnote w:id="295">
    <w:p w14:paraId="249A7F83" w14:textId="77777777" w:rsidR="00C14253" w:rsidRPr="00080648" w:rsidRDefault="00C14253" w:rsidP="00080648">
      <w:pPr>
        <w:pStyle w:val="Notedebasdepage"/>
        <w:rPr>
          <w:rFonts w:ascii="Times New Roman" w:hAnsi="Times New Roman" w:cs="Times New Roman"/>
          <w:i/>
          <w:sz w:val="20"/>
          <w:szCs w:val="20"/>
          <w:lang w:val="nl-NL"/>
        </w:rPr>
      </w:pPr>
      <w:r w:rsidRPr="00080648">
        <w:rPr>
          <w:rStyle w:val="Marquenotebasdepage"/>
          <w:rFonts w:ascii="Times New Roman" w:hAnsi="Times New Roman" w:cs="Times New Roman"/>
          <w:sz w:val="20"/>
          <w:szCs w:val="20"/>
        </w:rPr>
        <w:footnoteRef/>
      </w:r>
      <w:r w:rsidRPr="00080648">
        <w:rPr>
          <w:rFonts w:ascii="Times New Roman" w:hAnsi="Times New Roman" w:cs="Times New Roman"/>
          <w:sz w:val="20"/>
          <w:szCs w:val="20"/>
        </w:rPr>
        <w:t xml:space="preserve"> </w:t>
      </w:r>
      <w:r w:rsidRPr="00080648">
        <w:rPr>
          <w:rFonts w:ascii="Times New Roman" w:hAnsi="Times New Roman" w:cs="Times New Roman"/>
          <w:i/>
          <w:sz w:val="20"/>
          <w:szCs w:val="20"/>
          <w:lang w:val="nl-NL"/>
        </w:rPr>
        <w:t xml:space="preserve">Ibid., </w:t>
      </w:r>
    </w:p>
  </w:footnote>
  <w:footnote w:id="296">
    <w:p w14:paraId="561A8015" w14:textId="77777777" w:rsidR="00C14253" w:rsidRPr="00080648" w:rsidRDefault="00C14253" w:rsidP="00080648">
      <w:pPr>
        <w:pStyle w:val="Notedebasdepage"/>
        <w:rPr>
          <w:rFonts w:ascii="Times New Roman" w:hAnsi="Times New Roman" w:cs="Times New Roman"/>
          <w:sz w:val="20"/>
          <w:szCs w:val="20"/>
          <w:lang w:val="nl-NL"/>
        </w:rPr>
      </w:pPr>
      <w:r w:rsidRPr="00080648">
        <w:rPr>
          <w:rStyle w:val="Marquenotebasdepage"/>
          <w:rFonts w:ascii="Times New Roman" w:hAnsi="Times New Roman" w:cs="Times New Roman"/>
          <w:sz w:val="20"/>
          <w:szCs w:val="20"/>
        </w:rPr>
        <w:footnoteRef/>
      </w:r>
      <w:r w:rsidRPr="00080648">
        <w:rPr>
          <w:rFonts w:ascii="Times New Roman" w:hAnsi="Times New Roman" w:cs="Times New Roman"/>
          <w:sz w:val="20"/>
          <w:szCs w:val="20"/>
        </w:rPr>
        <w:t xml:space="preserve"> </w:t>
      </w:r>
      <w:r w:rsidRPr="00080648">
        <w:rPr>
          <w:rFonts w:ascii="Times New Roman" w:hAnsi="Times New Roman" w:cs="Times New Roman"/>
          <w:i/>
          <w:sz w:val="20"/>
          <w:szCs w:val="20"/>
          <w:lang w:val="nl-NL"/>
        </w:rPr>
        <w:t>Amiante</w:t>
      </w:r>
      <w:r w:rsidRPr="00080648">
        <w:rPr>
          <w:rFonts w:ascii="Times New Roman" w:hAnsi="Times New Roman" w:cs="Times New Roman"/>
          <w:sz w:val="20"/>
          <w:szCs w:val="20"/>
          <w:lang w:val="nl-NL"/>
        </w:rPr>
        <w:t>, rapport du Groupe spécial, § 8.233.</w:t>
      </w:r>
    </w:p>
  </w:footnote>
  <w:footnote w:id="297">
    <w:p w14:paraId="51B08802" w14:textId="77777777" w:rsidR="00C14253" w:rsidRPr="00AA65B5" w:rsidRDefault="00C14253" w:rsidP="00080648">
      <w:pPr>
        <w:pStyle w:val="Notedebasdepage"/>
        <w:rPr>
          <w:sz w:val="20"/>
          <w:szCs w:val="20"/>
          <w:lang w:val="nl-NL"/>
        </w:rPr>
      </w:pPr>
      <w:r w:rsidRPr="00AA65B5">
        <w:rPr>
          <w:rStyle w:val="Marquenotebasdepage"/>
          <w:sz w:val="20"/>
          <w:szCs w:val="20"/>
        </w:rPr>
        <w:footnoteRef/>
      </w:r>
      <w:r w:rsidRPr="00AA65B5">
        <w:rPr>
          <w:sz w:val="20"/>
          <w:szCs w:val="20"/>
        </w:rPr>
        <w:t xml:space="preserve"> </w:t>
      </w:r>
      <w:r w:rsidRPr="00AA65B5">
        <w:rPr>
          <w:i/>
          <w:sz w:val="20"/>
          <w:szCs w:val="20"/>
          <w:lang w:val="nl-NL"/>
        </w:rPr>
        <w:t xml:space="preserve">Ibid., </w:t>
      </w:r>
      <w:r w:rsidRPr="00AA65B5">
        <w:rPr>
          <w:sz w:val="20"/>
          <w:szCs w:val="20"/>
          <w:lang w:val="nl-NL"/>
        </w:rPr>
        <w:t>8. 236.</w:t>
      </w:r>
    </w:p>
  </w:footnote>
  <w:footnote w:id="298">
    <w:p w14:paraId="419BAE3E" w14:textId="6363EEF6"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Thon II</w:t>
      </w:r>
      <w:r w:rsidRPr="00570190">
        <w:rPr>
          <w:rFonts w:ascii="Times New Roman" w:hAnsi="Times New Roman" w:cs="Times New Roman"/>
          <w:sz w:val="20"/>
          <w:szCs w:val="20"/>
          <w:lang w:val="nl-NL"/>
        </w:rPr>
        <w:t xml:space="preserve">, rapport du Groupe spécial, § 5.29; </w:t>
      </w:r>
      <w:r w:rsidRPr="00570190">
        <w:rPr>
          <w:rFonts w:ascii="Times New Roman" w:hAnsi="Times New Roman" w:cs="Times New Roman"/>
          <w:smallCaps/>
          <w:sz w:val="20"/>
          <w:szCs w:val="20"/>
          <w:lang w:val="nl-NL"/>
        </w:rPr>
        <w:t>M. Prost</w:t>
      </w:r>
      <w:r w:rsidRPr="00570190">
        <w:rPr>
          <w:rFonts w:ascii="Times New Roman" w:hAnsi="Times New Roman" w:cs="Times New Roman"/>
          <w:sz w:val="20"/>
          <w:szCs w:val="20"/>
          <w:lang w:val="nl-NL"/>
        </w:rPr>
        <w:t>, , p. 26; ”Pratique du GATT/de l’OMC”, p. 12.</w:t>
      </w:r>
    </w:p>
  </w:footnote>
  <w:footnote w:id="299">
    <w:p w14:paraId="0EAB68B2" w14:textId="65DBAAAB" w:rsidR="00C14253" w:rsidRPr="00570190" w:rsidRDefault="00C14253">
      <w:pPr>
        <w:pStyle w:val="Notedebasdepage"/>
        <w:rPr>
          <w:rFonts w:ascii="Times New Roman" w:hAnsi="Times New Roman" w:cs="Times New Roman"/>
          <w:sz w:val="20"/>
          <w:szCs w:val="20"/>
          <w:lang w:val="nl-NL"/>
        </w:rPr>
      </w:pPr>
    </w:p>
  </w:footnote>
  <w:footnote w:id="300">
    <w:p w14:paraId="28D99606" w14:textId="606AD9CB" w:rsidR="00C14253" w:rsidRPr="00570190" w:rsidRDefault="00C14253" w:rsidP="0083562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Essence</w:t>
      </w:r>
      <w:r w:rsidRPr="00570190">
        <w:rPr>
          <w:rFonts w:ascii="Times New Roman" w:hAnsi="Times New Roman" w:cs="Times New Roman"/>
          <w:sz w:val="20"/>
          <w:szCs w:val="20"/>
          <w:lang w:val="nl-NL"/>
        </w:rPr>
        <w:t xml:space="preserve">, rapport du Groupe spécial, §6.20; </w:t>
      </w:r>
      <w:r w:rsidRPr="00570190">
        <w:rPr>
          <w:rFonts w:ascii="Times New Roman" w:hAnsi="Times New Roman" w:cs="Times New Roman"/>
          <w:i/>
          <w:sz w:val="20"/>
          <w:szCs w:val="20"/>
          <w:lang w:val="nl-NL"/>
        </w:rPr>
        <w:t>Thon II</w:t>
      </w:r>
      <w:r w:rsidRPr="00570190">
        <w:rPr>
          <w:rFonts w:ascii="Times New Roman" w:hAnsi="Times New Roman" w:cs="Times New Roman"/>
          <w:sz w:val="20"/>
          <w:szCs w:val="20"/>
          <w:lang w:val="nl-NL"/>
        </w:rPr>
        <w:t xml:space="preserve">, rapport du Groupe spécial, § 5.29; </w:t>
      </w:r>
      <w:r w:rsidRPr="00570190">
        <w:rPr>
          <w:rFonts w:ascii="Times New Roman" w:hAnsi="Times New Roman" w:cs="Times New Roman"/>
          <w:smallCaps/>
          <w:sz w:val="20"/>
          <w:szCs w:val="20"/>
          <w:lang w:val="nl-NL"/>
        </w:rPr>
        <w:t xml:space="preserve">G. </w:t>
      </w:r>
      <w:r w:rsidRPr="00570190">
        <w:rPr>
          <w:rFonts w:ascii="Times New Roman" w:hAnsi="Times New Roman" w:cs="Times New Roman"/>
          <w:smallCaps/>
          <w:sz w:val="20"/>
          <w:szCs w:val="20"/>
        </w:rPr>
        <w:t>Van Calster</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rPr>
        <w:t>74.</w:t>
      </w:r>
    </w:p>
  </w:footnote>
  <w:footnote w:id="301">
    <w:p w14:paraId="5ADC75AE" w14:textId="72BDFC46" w:rsidR="00C14253" w:rsidRPr="00570190" w:rsidRDefault="00C14253" w:rsidP="00B610E7">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p. 30 ; ”Pratique du GATT/de l’OMC”,  p. 13.</w:t>
      </w:r>
    </w:p>
  </w:footnote>
  <w:footnote w:id="302">
    <w:p w14:paraId="569B7FE2" w14:textId="3415DC0E" w:rsidR="00C14253" w:rsidRPr="00570190" w:rsidRDefault="00C14253" w:rsidP="00B610E7">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lang w:val="nl-NL"/>
        </w:rPr>
        <w:t>M. Prost</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rPr>
        <w:t xml:space="preserve">, p. 31 ; </w:t>
      </w:r>
      <w:r w:rsidRPr="00570190">
        <w:rPr>
          <w:rFonts w:ascii="Times New Roman" w:hAnsi="Times New Roman" w:cs="Times New Roman"/>
          <w:sz w:val="20"/>
          <w:szCs w:val="20"/>
          <w:lang w:val="nl-NL"/>
        </w:rPr>
        <w:t>”Pratique du GATT/de l’OMC”,  p. 13.</w:t>
      </w:r>
    </w:p>
  </w:footnote>
  <w:footnote w:id="303">
    <w:p w14:paraId="2685DB9E" w14:textId="7E321A0F" w:rsidR="00C14253" w:rsidRPr="00570190" w:rsidRDefault="00C14253" w:rsidP="00B610E7">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Thon I</w:t>
      </w:r>
      <w:r w:rsidRPr="00570190">
        <w:rPr>
          <w:rFonts w:ascii="Times New Roman" w:hAnsi="Times New Roman" w:cs="Times New Roman"/>
          <w:sz w:val="20"/>
          <w:szCs w:val="20"/>
          <w:lang w:val="nl-NL"/>
        </w:rPr>
        <w:t xml:space="preserve"> et </w:t>
      </w:r>
      <w:r w:rsidRPr="00570190">
        <w:rPr>
          <w:rFonts w:ascii="Times New Roman" w:hAnsi="Times New Roman" w:cs="Times New Roman"/>
          <w:i/>
          <w:sz w:val="20"/>
          <w:szCs w:val="20"/>
          <w:lang w:val="nl-NL"/>
        </w:rPr>
        <w:t>Thon II</w:t>
      </w:r>
      <w:r w:rsidRPr="00570190">
        <w:rPr>
          <w:rFonts w:ascii="Times New Roman" w:hAnsi="Times New Roman" w:cs="Times New Roman"/>
          <w:sz w:val="20"/>
          <w:szCs w:val="20"/>
          <w:lang w:val="nl-NL"/>
        </w:rPr>
        <w:t>, rapport du Groupe spécial, § 5.30.</w:t>
      </w:r>
    </w:p>
  </w:footnote>
  <w:footnote w:id="304">
    <w:p w14:paraId="7847000E" w14:textId="07667507" w:rsidR="00C14253" w:rsidRPr="00570190" w:rsidRDefault="00C14253" w:rsidP="006B2694">
      <w:pPr>
        <w:jc w:val="both"/>
        <w:rPr>
          <w:rFonts w:ascii="Times New Roman" w:hAnsi="Times New Roman" w:cs="Times New Roman"/>
          <w:i/>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E. </w:t>
      </w:r>
      <w:r w:rsidRPr="00570190">
        <w:rPr>
          <w:rFonts w:ascii="Times New Roman" w:hAnsi="Times New Roman" w:cs="Times New Roman"/>
          <w:smallCaps/>
          <w:sz w:val="20"/>
          <w:szCs w:val="20"/>
        </w:rPr>
        <w:t>Canal-Forgues, T. Flory,</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lang w:val="nl-NL"/>
        </w:rPr>
        <w:t xml:space="preserve">p. 373. ; </w:t>
      </w:r>
      <w:r w:rsidRPr="00570190">
        <w:rPr>
          <w:rFonts w:ascii="Times New Roman" w:hAnsi="Times New Roman" w:cs="Times New Roman"/>
          <w:i/>
          <w:sz w:val="20"/>
          <w:szCs w:val="20"/>
          <w:lang w:val="nl-NL"/>
        </w:rPr>
        <w:t>Essence</w:t>
      </w:r>
      <w:r w:rsidRPr="00570190">
        <w:rPr>
          <w:rFonts w:ascii="Times New Roman" w:hAnsi="Times New Roman" w:cs="Times New Roman"/>
          <w:sz w:val="20"/>
          <w:szCs w:val="20"/>
          <w:lang w:val="nl-NL"/>
        </w:rPr>
        <w:t>, rapport du Groupe spécial, § 6.21.</w:t>
      </w:r>
    </w:p>
  </w:footnote>
  <w:footnote w:id="305">
    <w:p w14:paraId="3F8A4D5E" w14:textId="37686758"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M. </w:t>
      </w:r>
      <w:r w:rsidRPr="00570190">
        <w:rPr>
          <w:rFonts w:ascii="Times New Roman" w:hAnsi="Times New Roman" w:cs="Times New Roman"/>
          <w:smallCaps/>
          <w:sz w:val="20"/>
          <w:szCs w:val="20"/>
          <w:lang w:val="nl-NL"/>
        </w:rPr>
        <w:t>Prost</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 xml:space="preserve">op. cit., </w:t>
      </w:r>
      <w:r w:rsidRPr="00570190">
        <w:rPr>
          <w:rFonts w:ascii="Times New Roman" w:hAnsi="Times New Roman" w:cs="Times New Roman"/>
          <w:sz w:val="20"/>
          <w:szCs w:val="20"/>
          <w:lang w:val="nl-NL"/>
        </w:rPr>
        <w:t>p. 31.</w:t>
      </w:r>
    </w:p>
  </w:footnote>
  <w:footnote w:id="306">
    <w:p w14:paraId="6A6DE14A" w14:textId="50F87377"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Ibid., </w:t>
      </w:r>
      <w:r w:rsidRPr="00570190">
        <w:rPr>
          <w:rFonts w:ascii="Times New Roman" w:hAnsi="Times New Roman" w:cs="Times New Roman"/>
          <w:sz w:val="20"/>
          <w:szCs w:val="20"/>
        </w:rPr>
        <w:t>p. 31.</w:t>
      </w:r>
    </w:p>
  </w:footnote>
  <w:footnote w:id="307">
    <w:p w14:paraId="63312B16" w14:textId="5C61DAE2" w:rsidR="00C14253" w:rsidRPr="00570190" w:rsidRDefault="00C14253" w:rsidP="0018135B">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"Thaïlande -Restrictions à l'importation et taxes intérieures touchant les cigarettes", rapport adopté le 7 novembre 1990, IBDD, S37/214 (ci-après dénommé </w:t>
      </w:r>
      <w:r w:rsidRPr="00570190">
        <w:rPr>
          <w:rFonts w:ascii="Times New Roman" w:hAnsi="Times New Roman" w:cs="Times New Roman"/>
          <w:b/>
          <w:i/>
          <w:sz w:val="20"/>
          <w:szCs w:val="20"/>
        </w:rPr>
        <w:t>Cigarettes</w:t>
      </w:r>
      <w:r w:rsidRPr="00570190">
        <w:rPr>
          <w:rFonts w:ascii="Times New Roman" w:hAnsi="Times New Roman" w:cs="Times New Roman"/>
          <w:sz w:val="20"/>
          <w:szCs w:val="20"/>
        </w:rPr>
        <w:t xml:space="preserve">); En l’espèce, la Thaïlande interdisait l’importation de cigarettes et autres préparations à base de tabac en application de Loi de 1966 sur les tabacs. De plus, les cigarettes étaient assujetties au paiement d’un droit d’accise, d’une taxe sur les transactions commerciales et d’une taxe municipale. Les Etats-Unis considéraient que les restriction à l’importation étaient incompatibles avec l’article XI§1 et n’étaient justifiées ni par l’article XI§2 </w:t>
      </w:r>
      <w:r w:rsidRPr="00570190">
        <w:rPr>
          <w:rFonts w:ascii="Times New Roman" w:hAnsi="Times New Roman" w:cs="Times New Roman"/>
          <w:i/>
          <w:sz w:val="20"/>
          <w:szCs w:val="20"/>
        </w:rPr>
        <w:t>c)</w:t>
      </w:r>
      <w:r w:rsidRPr="00570190">
        <w:rPr>
          <w:rFonts w:ascii="Times New Roman" w:hAnsi="Times New Roman" w:cs="Times New Roman"/>
          <w:sz w:val="20"/>
          <w:szCs w:val="20"/>
        </w:rPr>
        <w:t xml:space="preserve"> ni par l’article XX </w:t>
      </w:r>
      <w:r w:rsidRPr="00570190">
        <w:rPr>
          <w:rFonts w:ascii="Times New Roman" w:hAnsi="Times New Roman" w:cs="Times New Roman"/>
          <w:i/>
          <w:sz w:val="20"/>
          <w:szCs w:val="20"/>
        </w:rPr>
        <w:t>b)</w:t>
      </w:r>
      <w:r w:rsidRPr="00570190">
        <w:rPr>
          <w:rFonts w:ascii="Times New Roman" w:hAnsi="Times New Roman" w:cs="Times New Roman"/>
          <w:sz w:val="20"/>
          <w:szCs w:val="20"/>
        </w:rPr>
        <w:t>. Ils affirmaient également que les taxes intérieures étaient incompatibles avec l’article III§2 du GATT. Le Groupe spécial a considéré que les mesures interdisant l’importation de cigarettes décrétées par la Thaïlande était incompatible avec l’article XI. Deux objectifs principaux en matière de santé étaient exposés par la Thaïlande afin de justifier les restrictions à l’importation. En effet, les mesures avaient pour objet de garantir d’une part, la protection de la population contre des ingrédients nocifs contenus dans les cigarettes importées, et d’autre part, la réduction de la consommation nationale de cigarettes.</w:t>
      </w:r>
    </w:p>
  </w:footnote>
  <w:footnote w:id="308">
    <w:p w14:paraId="47AC96EB" w14:textId="4B2D90A4"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rPr>
        <w:t xml:space="preserve"> Guide des règles et pratiques du GATT, Index analytique</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612.</w:t>
      </w:r>
    </w:p>
  </w:footnote>
  <w:footnote w:id="309">
    <w:p w14:paraId="1C51897B" w14:textId="2E05C9C1" w:rsidR="00C14253" w:rsidRPr="00570190" w:rsidRDefault="00C14253" w:rsidP="003F30A7">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z w:val="20"/>
          <w:szCs w:val="20"/>
        </w:rPr>
        <w:t xml:space="preserve"> </w:t>
      </w:r>
      <w:hyperlink r:id="rId6" w:history="1">
        <w:r w:rsidRPr="005354AF">
          <w:rPr>
            <w:rStyle w:val="Lienhypertexte"/>
            <w:rFonts w:ascii="Times New Roman" w:hAnsi="Times New Roman" w:cs="Times New Roman"/>
            <w:color w:val="auto"/>
            <w:sz w:val="20"/>
            <w:szCs w:val="20"/>
            <w:u w:val="none"/>
          </w:rPr>
          <w:t>https://www.wto.org/french/tratop_f/envir_f/edis03_f.htm</w:t>
        </w:r>
      </w:hyperlink>
      <w:r w:rsidRPr="005354AF">
        <w:rPr>
          <w:rFonts w:ascii="Times New Roman" w:hAnsi="Times New Roman" w:cs="Times New Roman"/>
          <w:sz w:val="20"/>
          <w:szCs w:val="20"/>
        </w:rPr>
        <w:t>;</w:t>
      </w:r>
      <w:r w:rsidRPr="005354AF">
        <w:rPr>
          <w:rFonts w:ascii="Times New Roman" w:hAnsi="Times New Roman" w:cs="Times New Roman"/>
          <w:i/>
          <w:sz w:val="20"/>
          <w:szCs w:val="20"/>
        </w:rPr>
        <w:t xml:space="preserve"> Guide</w:t>
      </w:r>
      <w:r w:rsidRPr="00570190">
        <w:rPr>
          <w:rFonts w:ascii="Times New Roman" w:hAnsi="Times New Roman" w:cs="Times New Roman"/>
          <w:i/>
          <w:sz w:val="20"/>
          <w:szCs w:val="20"/>
        </w:rPr>
        <w:t xml:space="preserve"> des règles et pratiques du GATT, Index analytique</w:t>
      </w:r>
      <w:r w:rsidRPr="00570190">
        <w:rPr>
          <w:rFonts w:ascii="Times New Roman" w:hAnsi="Times New Roman" w:cs="Times New Roman"/>
          <w:smallCaps/>
          <w:sz w:val="20"/>
          <w:szCs w:val="20"/>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rPr>
        <w:t>p. 612.</w:t>
      </w:r>
    </w:p>
  </w:footnote>
  <w:footnote w:id="310">
    <w:p w14:paraId="57B23E0E" w14:textId="4F6249B3"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Guide des règles et pratiques du GATT, Index analytique</w:t>
      </w:r>
      <w:r w:rsidRPr="00570190">
        <w:rPr>
          <w:rFonts w:ascii="Times New Roman" w:hAnsi="Times New Roman" w:cs="Times New Roman"/>
          <w:smallCaps/>
          <w:sz w:val="20"/>
          <w:szCs w:val="20"/>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rPr>
        <w:t>p. 612.</w:t>
      </w:r>
    </w:p>
  </w:footnote>
  <w:footnote w:id="311">
    <w:p w14:paraId="3A4459CF" w14:textId="1594739C" w:rsidR="00C14253" w:rsidRPr="00570190" w:rsidRDefault="00C14253" w:rsidP="003F30A7">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Cigarettes</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rapport du Groupe spécial, § 73.</w:t>
      </w:r>
    </w:p>
  </w:footnote>
  <w:footnote w:id="312">
    <w:p w14:paraId="6B3622A7" w14:textId="6D8A7D3F" w:rsidR="00C14253" w:rsidRPr="00570190" w:rsidRDefault="00C14253" w:rsidP="003F30A7">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lang w:val="nl-NL"/>
        </w:rPr>
        <w:t>§ 73.</w:t>
      </w:r>
    </w:p>
  </w:footnote>
  <w:footnote w:id="313">
    <w:p w14:paraId="117061E6" w14:textId="77777777" w:rsidR="00C14253" w:rsidRPr="004B60AC" w:rsidRDefault="00C14253" w:rsidP="00C14253">
      <w:pPr>
        <w:pStyle w:val="Notedebasdepage"/>
        <w:rPr>
          <w:rFonts w:ascii="Times New Roman" w:hAnsi="Times New Roman" w:cs="Times New Roman"/>
          <w:sz w:val="20"/>
          <w:szCs w:val="20"/>
          <w:lang w:val="nl-NL"/>
        </w:rPr>
      </w:pPr>
      <w:r w:rsidRPr="004B60AC">
        <w:rPr>
          <w:rStyle w:val="Marquenotebasdepage"/>
          <w:rFonts w:ascii="Times New Roman" w:hAnsi="Times New Roman" w:cs="Times New Roman"/>
          <w:sz w:val="20"/>
          <w:szCs w:val="20"/>
        </w:rPr>
        <w:footnoteRef/>
      </w:r>
      <w:r w:rsidRPr="004B60AC">
        <w:rPr>
          <w:rFonts w:ascii="Times New Roman" w:hAnsi="Times New Roman" w:cs="Times New Roman"/>
          <w:sz w:val="20"/>
          <w:szCs w:val="20"/>
        </w:rPr>
        <w:t xml:space="preserve"> </w:t>
      </w:r>
      <w:r w:rsidRPr="004B60AC">
        <w:rPr>
          <w:rFonts w:ascii="Times New Roman" w:hAnsi="Times New Roman" w:cs="Times New Roman"/>
          <w:i/>
          <w:sz w:val="20"/>
          <w:szCs w:val="20"/>
        </w:rPr>
        <w:t>Communautés européennes – Mesures affectant l’amiante et les produits en contenant</w:t>
      </w:r>
      <w:r w:rsidRPr="004B60AC">
        <w:rPr>
          <w:rFonts w:ascii="Times New Roman" w:hAnsi="Times New Roman" w:cs="Times New Roman"/>
          <w:sz w:val="20"/>
          <w:szCs w:val="20"/>
        </w:rPr>
        <w:t>, rapport du Groupe spécial adopté le 18 septembre 2000, WT/DS135/R, § 8.194. (ci-après « </w:t>
      </w:r>
      <w:r w:rsidRPr="004B60AC">
        <w:rPr>
          <w:rFonts w:ascii="Times New Roman" w:hAnsi="Times New Roman" w:cs="Times New Roman"/>
          <w:b/>
          <w:i/>
          <w:sz w:val="20"/>
          <w:szCs w:val="20"/>
        </w:rPr>
        <w:t>Amiante</w:t>
      </w:r>
      <w:r w:rsidRPr="004B60AC">
        <w:rPr>
          <w:rFonts w:ascii="Times New Roman" w:hAnsi="Times New Roman" w:cs="Times New Roman"/>
          <w:sz w:val="20"/>
          <w:szCs w:val="20"/>
        </w:rPr>
        <w:t> »)</w:t>
      </w:r>
    </w:p>
  </w:footnote>
  <w:footnote w:id="314">
    <w:p w14:paraId="1F6873DF" w14:textId="77777777" w:rsidR="00C14253" w:rsidRPr="007624E3" w:rsidRDefault="00C14253" w:rsidP="00C14253">
      <w:pPr>
        <w:pStyle w:val="Notedebasdepage"/>
        <w:rPr>
          <w:rFonts w:ascii="Times New Roman" w:hAnsi="Times New Roman" w:cs="Times New Roman"/>
          <w:lang w:val="nl-NL"/>
        </w:rPr>
      </w:pPr>
      <w:r w:rsidRPr="007624E3">
        <w:rPr>
          <w:rStyle w:val="Marquenotebasdepage"/>
          <w:rFonts w:ascii="Times New Roman" w:hAnsi="Times New Roman" w:cs="Times New Roman"/>
        </w:rPr>
        <w:footnoteRef/>
      </w:r>
      <w:r w:rsidRPr="007624E3">
        <w:rPr>
          <w:rFonts w:ascii="Times New Roman" w:hAnsi="Times New Roman" w:cs="Times New Roman"/>
        </w:rPr>
        <w:t xml:space="preserve"> </w:t>
      </w:r>
      <w:r w:rsidRPr="007624E3">
        <w:rPr>
          <w:rFonts w:ascii="Times New Roman" w:hAnsi="Times New Roman" w:cs="Times New Roman"/>
          <w:i/>
          <w:lang w:val="nl-NL"/>
        </w:rPr>
        <w:t>Amiante</w:t>
      </w:r>
      <w:r w:rsidRPr="007624E3">
        <w:rPr>
          <w:rFonts w:ascii="Times New Roman" w:hAnsi="Times New Roman" w:cs="Times New Roman"/>
          <w:lang w:val="nl-NL"/>
        </w:rPr>
        <w:t>, rapport du Groupe spécial, § 8.169.</w:t>
      </w:r>
    </w:p>
  </w:footnote>
  <w:footnote w:id="315">
    <w:p w14:paraId="0531F826" w14:textId="381C435F" w:rsidR="00C14253" w:rsidRPr="007624E3" w:rsidRDefault="00C14253" w:rsidP="00C14253">
      <w:pPr>
        <w:jc w:val="both"/>
        <w:rPr>
          <w:rFonts w:ascii="Times New Roman" w:hAnsi="Times New Roman" w:cs="Times New Roman"/>
        </w:rPr>
      </w:pPr>
      <w:r w:rsidRPr="007624E3">
        <w:rPr>
          <w:rStyle w:val="Marquenotebasdepage"/>
          <w:rFonts w:ascii="Times New Roman" w:hAnsi="Times New Roman" w:cs="Times New Roman"/>
        </w:rPr>
        <w:footnoteRef/>
      </w:r>
      <w:r w:rsidRPr="007624E3">
        <w:rPr>
          <w:rFonts w:ascii="Times New Roman" w:hAnsi="Times New Roman" w:cs="Times New Roman"/>
        </w:rPr>
        <w:t xml:space="preserve"> </w:t>
      </w:r>
      <w:r w:rsidRPr="007624E3">
        <w:rPr>
          <w:rFonts w:ascii="Times New Roman" w:hAnsi="Times New Roman" w:cs="Times New Roman"/>
          <w:i/>
          <w:lang w:val="nl-NL"/>
        </w:rPr>
        <w:t>Amiante</w:t>
      </w:r>
      <w:r w:rsidRPr="007624E3">
        <w:rPr>
          <w:rFonts w:ascii="Times New Roman" w:hAnsi="Times New Roman" w:cs="Times New Roman"/>
          <w:lang w:val="nl-NL"/>
        </w:rPr>
        <w:t xml:space="preserve">, rapport du Groupe spécial, § 8.194.; </w:t>
      </w:r>
      <w:r w:rsidRPr="007624E3">
        <w:rPr>
          <w:rFonts w:ascii="Times New Roman" w:hAnsi="Times New Roman" w:cs="Times New Roman"/>
        </w:rPr>
        <w:t xml:space="preserve">World Trade Organization, </w:t>
      </w:r>
      <w:r w:rsidRPr="007624E3">
        <w:rPr>
          <w:rFonts w:ascii="Times New Roman" w:hAnsi="Times New Roman" w:cs="Times New Roman"/>
          <w:i/>
        </w:rPr>
        <w:t>WTO Analytical Index, Guide to WTO Law and Practice</w:t>
      </w:r>
      <w:r w:rsidRPr="007624E3">
        <w:rPr>
          <w:rFonts w:ascii="Times New Roman" w:hAnsi="Times New Roman" w:cs="Times New Roman"/>
        </w:rPr>
        <w:t xml:space="preserve">, p. 296. </w:t>
      </w:r>
    </w:p>
  </w:footnote>
  <w:footnote w:id="316">
    <w:p w14:paraId="2C2F03CC" w14:textId="5C5DC7A9" w:rsidR="00C14253" w:rsidRPr="007624E3" w:rsidRDefault="00C14253" w:rsidP="00C14253">
      <w:pPr>
        <w:pStyle w:val="Notedebasdepage"/>
        <w:rPr>
          <w:rFonts w:ascii="Times New Roman" w:hAnsi="Times New Roman" w:cs="Times New Roman"/>
          <w:lang w:val="nl-NL"/>
        </w:rPr>
      </w:pPr>
      <w:r w:rsidRPr="007624E3">
        <w:rPr>
          <w:rStyle w:val="Marquenotebasdepage"/>
          <w:rFonts w:ascii="Times New Roman" w:hAnsi="Times New Roman" w:cs="Times New Roman"/>
        </w:rPr>
        <w:footnoteRef/>
      </w:r>
      <w:r w:rsidRPr="007624E3">
        <w:rPr>
          <w:rFonts w:ascii="Times New Roman" w:hAnsi="Times New Roman" w:cs="Times New Roman"/>
        </w:rPr>
        <w:t xml:space="preserve"> </w:t>
      </w:r>
      <w:r w:rsidR="007624E3" w:rsidRPr="007624E3">
        <w:rPr>
          <w:rFonts w:ascii="Times New Roman" w:hAnsi="Times New Roman" w:cs="Times New Roman"/>
          <w:i/>
        </w:rPr>
        <w:t>Amiante</w:t>
      </w:r>
      <w:r w:rsidR="007624E3" w:rsidRPr="007624E3">
        <w:rPr>
          <w:rFonts w:ascii="Times New Roman" w:hAnsi="Times New Roman" w:cs="Times New Roman"/>
        </w:rPr>
        <w:t xml:space="preserve">, </w:t>
      </w:r>
      <w:r w:rsidR="007624E3" w:rsidRPr="007624E3">
        <w:rPr>
          <w:rFonts w:ascii="Times New Roman" w:hAnsi="Times New Roman" w:cs="Times New Roman"/>
          <w:lang w:val="nl-NL"/>
        </w:rPr>
        <w:t>r</w:t>
      </w:r>
      <w:r w:rsidRPr="007624E3">
        <w:rPr>
          <w:rFonts w:ascii="Times New Roman" w:hAnsi="Times New Roman" w:cs="Times New Roman"/>
          <w:lang w:val="nl-NL"/>
        </w:rPr>
        <w:t>apport de l’Organe d’appel, §163.</w:t>
      </w:r>
    </w:p>
  </w:footnote>
  <w:footnote w:id="317">
    <w:p w14:paraId="22B16188" w14:textId="5F30F051" w:rsidR="00C14253" w:rsidRPr="007624E3" w:rsidRDefault="00C14253" w:rsidP="00C14253">
      <w:pPr>
        <w:pStyle w:val="Notedebasdepage"/>
        <w:rPr>
          <w:rFonts w:ascii="Times New Roman" w:hAnsi="Times New Roman" w:cs="Times New Roman"/>
          <w:lang w:val="nl-NL"/>
        </w:rPr>
      </w:pPr>
      <w:r w:rsidRPr="007624E3">
        <w:rPr>
          <w:rStyle w:val="Marquenotebasdepage"/>
          <w:rFonts w:ascii="Times New Roman" w:hAnsi="Times New Roman" w:cs="Times New Roman"/>
        </w:rPr>
        <w:footnoteRef/>
      </w:r>
      <w:r w:rsidRPr="007624E3">
        <w:rPr>
          <w:rFonts w:ascii="Times New Roman" w:hAnsi="Times New Roman" w:cs="Times New Roman"/>
        </w:rPr>
        <w:t xml:space="preserve"> </w:t>
      </w:r>
      <w:r w:rsidRPr="007624E3">
        <w:rPr>
          <w:rFonts w:ascii="Times New Roman" w:hAnsi="Times New Roman" w:cs="Times New Roman"/>
          <w:i/>
          <w:lang w:val="nl-NL"/>
        </w:rPr>
        <w:t>Amiante</w:t>
      </w:r>
      <w:r w:rsidR="007624E3" w:rsidRPr="007624E3">
        <w:rPr>
          <w:rFonts w:ascii="Times New Roman" w:hAnsi="Times New Roman" w:cs="Times New Roman"/>
          <w:lang w:val="nl-NL"/>
        </w:rPr>
        <w:t>, r</w:t>
      </w:r>
      <w:r w:rsidRPr="007624E3">
        <w:rPr>
          <w:rFonts w:ascii="Times New Roman" w:hAnsi="Times New Roman" w:cs="Times New Roman"/>
          <w:lang w:val="nl-NL"/>
        </w:rPr>
        <w:t>apport de l’Organe d’appel, § 168.</w:t>
      </w:r>
    </w:p>
  </w:footnote>
  <w:footnote w:id="318">
    <w:p w14:paraId="09F76FA2" w14:textId="77777777" w:rsidR="00C14253" w:rsidRPr="007624E3" w:rsidRDefault="00C14253" w:rsidP="00C14253">
      <w:pPr>
        <w:pStyle w:val="Notedebasdepage"/>
        <w:rPr>
          <w:rFonts w:ascii="Times New Roman" w:hAnsi="Times New Roman" w:cs="Times New Roman"/>
          <w:lang w:val="nl-NL"/>
        </w:rPr>
      </w:pPr>
      <w:r w:rsidRPr="007624E3">
        <w:rPr>
          <w:rStyle w:val="Marquenotebasdepage"/>
          <w:rFonts w:ascii="Times New Roman" w:hAnsi="Times New Roman" w:cs="Times New Roman"/>
        </w:rPr>
        <w:footnoteRef/>
      </w:r>
      <w:r w:rsidRPr="007624E3">
        <w:rPr>
          <w:rFonts w:ascii="Times New Roman" w:hAnsi="Times New Roman" w:cs="Times New Roman"/>
        </w:rPr>
        <w:t xml:space="preserve"> S. </w:t>
      </w:r>
      <w:r w:rsidRPr="007624E3">
        <w:rPr>
          <w:rFonts w:ascii="Times New Roman" w:hAnsi="Times New Roman" w:cs="Times New Roman"/>
          <w:smallCaps/>
        </w:rPr>
        <w:t xml:space="preserve">Maljean-Dubois, </w:t>
      </w:r>
      <w:r w:rsidRPr="007624E3">
        <w:rPr>
          <w:rFonts w:ascii="Times New Roman" w:hAnsi="Times New Roman" w:cs="Times New Roman"/>
          <w:i/>
        </w:rPr>
        <w:t>Droit de l’Organisation Mondiale du Commerce et protection de l’environnement</w:t>
      </w:r>
      <w:r w:rsidRPr="007624E3">
        <w:rPr>
          <w:rFonts w:ascii="Times New Roman" w:hAnsi="Times New Roman" w:cs="Times New Roman"/>
        </w:rPr>
        <w:t>, p. 42.</w:t>
      </w:r>
    </w:p>
  </w:footnote>
  <w:footnote w:id="319">
    <w:p w14:paraId="7482496E" w14:textId="5BB7E014" w:rsidR="00C14253" w:rsidRPr="007624E3" w:rsidRDefault="00C14253" w:rsidP="00C14253">
      <w:pPr>
        <w:pStyle w:val="Notedebasdepage"/>
        <w:rPr>
          <w:rFonts w:ascii="Times New Roman" w:hAnsi="Times New Roman" w:cs="Times New Roman"/>
          <w:lang w:val="nl-NL"/>
        </w:rPr>
      </w:pPr>
      <w:r w:rsidRPr="007624E3">
        <w:rPr>
          <w:rStyle w:val="Marquenotebasdepage"/>
          <w:rFonts w:ascii="Times New Roman" w:hAnsi="Times New Roman" w:cs="Times New Roman"/>
        </w:rPr>
        <w:footnoteRef/>
      </w:r>
      <w:r w:rsidRPr="007624E3">
        <w:rPr>
          <w:rFonts w:ascii="Times New Roman" w:hAnsi="Times New Roman" w:cs="Times New Roman"/>
        </w:rPr>
        <w:t xml:space="preserve"> </w:t>
      </w:r>
      <w:r w:rsidRPr="007624E3">
        <w:rPr>
          <w:rFonts w:ascii="Times New Roman" w:hAnsi="Times New Roman" w:cs="Times New Roman"/>
          <w:i/>
          <w:lang w:val="nl-NL"/>
        </w:rPr>
        <w:t>Amiante</w:t>
      </w:r>
      <w:r w:rsidR="007624E3" w:rsidRPr="007624E3">
        <w:rPr>
          <w:rFonts w:ascii="Times New Roman" w:hAnsi="Times New Roman" w:cs="Times New Roman"/>
          <w:lang w:val="nl-NL"/>
        </w:rPr>
        <w:t>, r</w:t>
      </w:r>
      <w:r w:rsidRPr="007624E3">
        <w:rPr>
          <w:rFonts w:ascii="Times New Roman" w:hAnsi="Times New Roman" w:cs="Times New Roman"/>
          <w:lang w:val="nl-NL"/>
        </w:rPr>
        <w:t>ap</w:t>
      </w:r>
      <w:r w:rsidR="007624E3" w:rsidRPr="007624E3">
        <w:rPr>
          <w:rFonts w:ascii="Times New Roman" w:hAnsi="Times New Roman" w:cs="Times New Roman"/>
          <w:lang w:val="nl-NL"/>
        </w:rPr>
        <w:t xml:space="preserve">port de l’Organe d’appel, § 168; </w:t>
      </w:r>
      <w:r w:rsidR="007624E3" w:rsidRPr="007624E3">
        <w:rPr>
          <w:rFonts w:ascii="Times New Roman" w:hAnsi="Times New Roman" w:cs="Times New Roman"/>
        </w:rPr>
        <w:t xml:space="preserve">. </w:t>
      </w:r>
      <w:r w:rsidR="007624E3" w:rsidRPr="007624E3">
        <w:rPr>
          <w:rFonts w:ascii="Times New Roman" w:hAnsi="Times New Roman" w:cs="Times New Roman"/>
          <w:smallCaps/>
        </w:rPr>
        <w:t xml:space="preserve">Maljean-Dubois, </w:t>
      </w:r>
      <w:r w:rsidR="007624E3" w:rsidRPr="007624E3">
        <w:rPr>
          <w:rFonts w:ascii="Times New Roman" w:hAnsi="Times New Roman" w:cs="Times New Roman"/>
          <w:i/>
        </w:rPr>
        <w:t>op. cit.</w:t>
      </w:r>
      <w:r w:rsidR="007624E3" w:rsidRPr="007624E3">
        <w:rPr>
          <w:rFonts w:ascii="Times New Roman" w:hAnsi="Times New Roman" w:cs="Times New Roman"/>
        </w:rPr>
        <w:t>, p. 42.</w:t>
      </w:r>
    </w:p>
  </w:footnote>
  <w:footnote w:id="320">
    <w:p w14:paraId="4547E7EA" w14:textId="3D0FFCAD" w:rsidR="00C14253" w:rsidRPr="007624E3" w:rsidRDefault="00C14253" w:rsidP="00C14253">
      <w:pPr>
        <w:pStyle w:val="Notedebasdepage"/>
        <w:rPr>
          <w:rFonts w:ascii="Times New Roman" w:hAnsi="Times New Roman" w:cs="Times New Roman"/>
          <w:lang w:val="nl-NL"/>
        </w:rPr>
      </w:pPr>
      <w:r w:rsidRPr="007624E3">
        <w:rPr>
          <w:rStyle w:val="Marquenotebasdepage"/>
          <w:rFonts w:ascii="Times New Roman" w:hAnsi="Times New Roman" w:cs="Times New Roman"/>
        </w:rPr>
        <w:footnoteRef/>
      </w:r>
      <w:r w:rsidRPr="007624E3">
        <w:rPr>
          <w:rFonts w:ascii="Times New Roman" w:hAnsi="Times New Roman" w:cs="Times New Roman"/>
        </w:rPr>
        <w:t xml:space="preserve"> </w:t>
      </w:r>
      <w:r w:rsidRPr="007624E3">
        <w:rPr>
          <w:rFonts w:ascii="Times New Roman" w:hAnsi="Times New Roman" w:cs="Times New Roman"/>
          <w:i/>
          <w:lang w:val="nl-NL"/>
        </w:rPr>
        <w:t>Amiante</w:t>
      </w:r>
      <w:r w:rsidR="007624E3" w:rsidRPr="007624E3">
        <w:rPr>
          <w:rFonts w:ascii="Times New Roman" w:hAnsi="Times New Roman" w:cs="Times New Roman"/>
          <w:lang w:val="nl-NL"/>
        </w:rPr>
        <w:t>, r</w:t>
      </w:r>
      <w:r w:rsidRPr="007624E3">
        <w:rPr>
          <w:rFonts w:ascii="Times New Roman" w:hAnsi="Times New Roman" w:cs="Times New Roman"/>
          <w:lang w:val="nl-NL"/>
        </w:rPr>
        <w:t>apport du Groupe spécial, § 8. 209 et 8.211.</w:t>
      </w:r>
    </w:p>
  </w:footnote>
  <w:footnote w:id="321">
    <w:p w14:paraId="7298C5A9" w14:textId="7B2BC7C3" w:rsidR="00C14253" w:rsidRPr="007624E3" w:rsidRDefault="00C14253" w:rsidP="00C14253">
      <w:pPr>
        <w:pStyle w:val="Notedebasdepage"/>
        <w:rPr>
          <w:rFonts w:ascii="Times New Roman" w:hAnsi="Times New Roman" w:cs="Times New Roman"/>
          <w:lang w:val="nl-NL"/>
        </w:rPr>
      </w:pPr>
      <w:r w:rsidRPr="007624E3">
        <w:rPr>
          <w:rStyle w:val="Marquenotebasdepage"/>
          <w:rFonts w:ascii="Times New Roman" w:hAnsi="Times New Roman" w:cs="Times New Roman"/>
        </w:rPr>
        <w:footnoteRef/>
      </w:r>
      <w:r w:rsidRPr="007624E3">
        <w:rPr>
          <w:rFonts w:ascii="Times New Roman" w:hAnsi="Times New Roman" w:cs="Times New Roman"/>
        </w:rPr>
        <w:t xml:space="preserve"> </w:t>
      </w:r>
      <w:r w:rsidRPr="007624E3">
        <w:rPr>
          <w:rFonts w:ascii="Times New Roman" w:hAnsi="Times New Roman" w:cs="Times New Roman"/>
          <w:i/>
          <w:lang w:val="nl-NL"/>
        </w:rPr>
        <w:t>Amiante</w:t>
      </w:r>
      <w:r w:rsidR="007624E3" w:rsidRPr="007624E3">
        <w:rPr>
          <w:rFonts w:ascii="Times New Roman" w:hAnsi="Times New Roman" w:cs="Times New Roman"/>
          <w:lang w:val="nl-NL"/>
        </w:rPr>
        <w:t>, r</w:t>
      </w:r>
      <w:r w:rsidRPr="007624E3">
        <w:rPr>
          <w:rFonts w:ascii="Times New Roman" w:hAnsi="Times New Roman" w:cs="Times New Roman"/>
          <w:lang w:val="nl-NL"/>
        </w:rPr>
        <w:t>apport de l’Organe d’appel, § 174.</w:t>
      </w:r>
    </w:p>
  </w:footnote>
  <w:footnote w:id="322">
    <w:p w14:paraId="69E3D370" w14:textId="77777777" w:rsidR="00C14253" w:rsidRPr="00E11F81" w:rsidRDefault="00C14253" w:rsidP="00C14253">
      <w:pPr>
        <w:pStyle w:val="Notedebasdepage"/>
        <w:rPr>
          <w:rFonts w:ascii="Times New Roman" w:hAnsi="Times New Roman" w:cs="Times New Roman"/>
          <w:sz w:val="20"/>
          <w:szCs w:val="20"/>
          <w:lang w:val="nl-NL"/>
        </w:rPr>
      </w:pPr>
      <w:r w:rsidRPr="00E11F81">
        <w:rPr>
          <w:rStyle w:val="Marquenotebasdepage"/>
          <w:rFonts w:ascii="Times New Roman" w:hAnsi="Times New Roman" w:cs="Times New Roman"/>
          <w:sz w:val="20"/>
          <w:szCs w:val="20"/>
        </w:rPr>
        <w:footnoteRef/>
      </w:r>
      <w:r w:rsidRPr="00E11F81">
        <w:rPr>
          <w:rFonts w:ascii="Times New Roman" w:hAnsi="Times New Roman" w:cs="Times New Roman"/>
          <w:sz w:val="20"/>
          <w:szCs w:val="20"/>
        </w:rPr>
        <w:t xml:space="preserve"> M. </w:t>
      </w:r>
      <w:r w:rsidRPr="00E11F81">
        <w:rPr>
          <w:rFonts w:ascii="Times New Roman" w:hAnsi="Times New Roman" w:cs="Times New Roman"/>
          <w:smallCaps/>
          <w:sz w:val="20"/>
          <w:szCs w:val="20"/>
          <w:lang w:val="nl-NL"/>
        </w:rPr>
        <w:t>Prost</w:t>
      </w:r>
      <w:r w:rsidRPr="00E11F81">
        <w:rPr>
          <w:rFonts w:ascii="Times New Roman" w:hAnsi="Times New Roman" w:cs="Times New Roman"/>
          <w:sz w:val="20"/>
          <w:szCs w:val="20"/>
        </w:rPr>
        <w:t>, p. 60.</w:t>
      </w:r>
    </w:p>
  </w:footnote>
  <w:footnote w:id="323">
    <w:p w14:paraId="64335104" w14:textId="77777777" w:rsidR="00C14253" w:rsidRPr="004B60AC" w:rsidRDefault="00C14253" w:rsidP="00C14253">
      <w:pPr>
        <w:pStyle w:val="Notedebasdepage"/>
        <w:rPr>
          <w:rFonts w:ascii="Times New Roman" w:hAnsi="Times New Roman" w:cs="Times New Roman"/>
          <w:sz w:val="20"/>
          <w:szCs w:val="20"/>
          <w:lang w:val="nl-NL"/>
        </w:rPr>
      </w:pPr>
      <w:r w:rsidRPr="004B60AC">
        <w:rPr>
          <w:rStyle w:val="Marquenotebasdepage"/>
          <w:rFonts w:ascii="Times New Roman" w:hAnsi="Times New Roman" w:cs="Times New Roman"/>
          <w:sz w:val="20"/>
          <w:szCs w:val="20"/>
        </w:rPr>
        <w:footnoteRef/>
      </w:r>
      <w:r w:rsidRPr="004B60AC">
        <w:rPr>
          <w:rFonts w:ascii="Times New Roman" w:hAnsi="Times New Roman" w:cs="Times New Roman"/>
          <w:sz w:val="20"/>
          <w:szCs w:val="20"/>
        </w:rPr>
        <w:t xml:space="preserve"> </w:t>
      </w:r>
      <w:r w:rsidRPr="004B60AC">
        <w:rPr>
          <w:rFonts w:ascii="Times New Roman" w:hAnsi="Times New Roman" w:cs="Times New Roman"/>
          <w:i/>
          <w:sz w:val="20"/>
          <w:szCs w:val="20"/>
        </w:rPr>
        <w:t xml:space="preserve">Ibid., </w:t>
      </w:r>
      <w:r w:rsidRPr="004B60AC">
        <w:rPr>
          <w:rFonts w:ascii="Times New Roman" w:hAnsi="Times New Roman" w:cs="Times New Roman"/>
          <w:sz w:val="20"/>
          <w:szCs w:val="20"/>
        </w:rPr>
        <w:t>p. 60.</w:t>
      </w:r>
    </w:p>
  </w:footnote>
  <w:footnote w:id="324">
    <w:p w14:paraId="47CC9694" w14:textId="0E2C4391" w:rsidR="00C14253" w:rsidRPr="00570190" w:rsidRDefault="00C14253" w:rsidP="00CF3282">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”Pratique du GATT/de l’OMC”,  </w:t>
      </w:r>
      <w:r w:rsidRPr="00570190">
        <w:rPr>
          <w:rFonts w:ascii="Times New Roman" w:hAnsi="Times New Roman" w:cs="Times New Roman"/>
          <w:sz w:val="20"/>
          <w:szCs w:val="20"/>
        </w:rPr>
        <w:t>p. 15.</w:t>
      </w:r>
    </w:p>
  </w:footnote>
  <w:footnote w:id="325">
    <w:p w14:paraId="0EB98DA0" w14:textId="5328CCF1" w:rsidR="00C14253" w:rsidRPr="00570190" w:rsidRDefault="00C14253" w:rsidP="00CF3282">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Thon I</w:t>
      </w:r>
      <w:r w:rsidRPr="00570190">
        <w:rPr>
          <w:rFonts w:ascii="Times New Roman" w:hAnsi="Times New Roman" w:cs="Times New Roman"/>
          <w:sz w:val="20"/>
          <w:szCs w:val="20"/>
          <w:lang w:val="nl-NL"/>
        </w:rPr>
        <w:t>, rapport du Groupe spécial, § 5.27.</w:t>
      </w:r>
    </w:p>
  </w:footnote>
  <w:footnote w:id="326">
    <w:p w14:paraId="7F7AEF24" w14:textId="72E3A1B5" w:rsidR="00C14253" w:rsidRPr="00570190" w:rsidRDefault="00C14253" w:rsidP="00DB2F59">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”Pratique du GATT/de l’OMC”, p. 15; P. </w:t>
      </w:r>
      <w:r w:rsidRPr="00570190">
        <w:rPr>
          <w:rFonts w:ascii="Times New Roman" w:hAnsi="Times New Roman" w:cs="Times New Roman"/>
          <w:smallCaps/>
          <w:sz w:val="20"/>
          <w:szCs w:val="20"/>
        </w:rPr>
        <w:t>Van den Bossche</w:t>
      </w:r>
      <w:r w:rsidRPr="00570190">
        <w:rPr>
          <w:rFonts w:ascii="Times New Roman" w:hAnsi="Times New Roman" w:cs="Times New Roman"/>
          <w:sz w:val="20"/>
          <w:szCs w:val="20"/>
        </w:rPr>
        <w:t xml:space="preserve">, W. </w:t>
      </w:r>
      <w:r w:rsidRPr="00570190">
        <w:rPr>
          <w:rFonts w:ascii="Times New Roman" w:hAnsi="Times New Roman" w:cs="Times New Roman"/>
          <w:smallCaps/>
          <w:sz w:val="20"/>
          <w:szCs w:val="20"/>
        </w:rPr>
        <w:t>Zdouc</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554.</w:t>
      </w:r>
    </w:p>
  </w:footnote>
  <w:footnote w:id="327">
    <w:p w14:paraId="2A3524E0" w14:textId="77777777" w:rsidR="00C14253" w:rsidRPr="00570190" w:rsidRDefault="00C14253" w:rsidP="00CF3282">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Essence</w:t>
      </w:r>
      <w:r w:rsidRPr="00570190">
        <w:rPr>
          <w:rFonts w:ascii="Times New Roman" w:hAnsi="Times New Roman" w:cs="Times New Roman"/>
          <w:sz w:val="20"/>
          <w:szCs w:val="20"/>
          <w:lang w:val="nl-NL"/>
        </w:rPr>
        <w:t>, rapport du Groupe spécial, § 6.22.</w:t>
      </w:r>
    </w:p>
  </w:footnote>
  <w:footnote w:id="328">
    <w:p w14:paraId="53D47553" w14:textId="57AA6FC2" w:rsidR="00C14253" w:rsidRPr="00570190" w:rsidRDefault="00C14253" w:rsidP="00CF3282">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 6.22.</w:t>
      </w:r>
    </w:p>
  </w:footnote>
  <w:footnote w:id="329">
    <w:p w14:paraId="18A5C3BA" w14:textId="1FEF67A5" w:rsidR="00C14253" w:rsidRPr="00570190" w:rsidRDefault="00C14253" w:rsidP="00CF3282">
      <w:pPr>
        <w:pStyle w:val="Notedebasdepage"/>
        <w:rPr>
          <w:rFonts w:ascii="Times New Roman" w:hAnsi="Times New Roman" w:cs="Times New Roman"/>
          <w:i/>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xml:space="preserve">, § 6.22; B. </w:t>
      </w:r>
      <w:r w:rsidRPr="00570190">
        <w:rPr>
          <w:rFonts w:ascii="Times New Roman" w:hAnsi="Times New Roman" w:cs="Times New Roman"/>
          <w:smallCaps/>
          <w:sz w:val="20"/>
          <w:szCs w:val="20"/>
        </w:rPr>
        <w:t>Stern, H. Ruiz Fabri,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The Case-Law of the WTO, La jurisprudence de l’OMC, 1996-1997</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 pp. 10-11.</w:t>
      </w:r>
    </w:p>
  </w:footnote>
  <w:footnote w:id="330">
    <w:p w14:paraId="2A52707E" w14:textId="3FF36470" w:rsidR="00C14253" w:rsidRPr="00570190" w:rsidRDefault="00C14253" w:rsidP="00CF3282">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E. </w:t>
      </w:r>
      <w:r w:rsidRPr="00570190">
        <w:rPr>
          <w:rFonts w:ascii="Times New Roman" w:hAnsi="Times New Roman" w:cs="Times New Roman"/>
          <w:smallCaps/>
          <w:sz w:val="20"/>
          <w:szCs w:val="20"/>
        </w:rPr>
        <w:t xml:space="preserve">Canal-Forgues, T. Flory,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rPr>
        <w:t>p. 373</w:t>
      </w:r>
      <w:r w:rsidRPr="00570190">
        <w:rPr>
          <w:rFonts w:ascii="Times New Roman" w:hAnsi="Times New Roman" w:cs="Times New Roman"/>
          <w:sz w:val="20"/>
          <w:szCs w:val="20"/>
          <w:lang w:val="nl-NL"/>
        </w:rPr>
        <w:t>; ”Pratique du GATT/de l’OMC”, p. 15.</w:t>
      </w:r>
    </w:p>
  </w:footnote>
  <w:footnote w:id="331">
    <w:p w14:paraId="3AAAA496" w14:textId="09C44554" w:rsidR="00C14253" w:rsidRPr="00570190" w:rsidRDefault="00C14253" w:rsidP="005314D2">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E. </w:t>
      </w:r>
      <w:r w:rsidRPr="00570190">
        <w:rPr>
          <w:rFonts w:ascii="Times New Roman" w:hAnsi="Times New Roman" w:cs="Times New Roman"/>
          <w:smallCaps/>
          <w:sz w:val="20"/>
          <w:szCs w:val="20"/>
        </w:rPr>
        <w:t xml:space="preserve">Canal-Forgues, T. Flory,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rPr>
        <w:t xml:space="preserve">p. 373 ; </w:t>
      </w:r>
      <w:r w:rsidRPr="00570190">
        <w:rPr>
          <w:rFonts w:ascii="Times New Roman" w:hAnsi="Times New Roman" w:cs="Times New Roman"/>
          <w:smallCaps/>
          <w:sz w:val="20"/>
          <w:szCs w:val="20"/>
        </w:rPr>
        <w:t>S</w:t>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Zlepting</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rPr>
        <w:t>pp. 226-229.</w:t>
      </w:r>
    </w:p>
  </w:footnote>
  <w:footnote w:id="332">
    <w:p w14:paraId="20299F46" w14:textId="77777777" w:rsidR="00C14253" w:rsidRPr="00570190" w:rsidRDefault="00C14253" w:rsidP="00CF3282">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L’article XX </w:t>
      </w:r>
      <w:r w:rsidRPr="00570190">
        <w:rPr>
          <w:rFonts w:ascii="Times New Roman" w:hAnsi="Times New Roman" w:cs="Times New Roman"/>
          <w:i/>
          <w:sz w:val="20"/>
          <w:szCs w:val="20"/>
          <w:lang w:val="nl-NL"/>
        </w:rPr>
        <w:t>d)</w:t>
      </w:r>
      <w:r w:rsidRPr="00570190">
        <w:rPr>
          <w:rFonts w:ascii="Times New Roman" w:hAnsi="Times New Roman" w:cs="Times New Roman"/>
          <w:sz w:val="20"/>
          <w:szCs w:val="20"/>
          <w:lang w:val="nl-NL"/>
        </w:rPr>
        <w:t xml:space="preserve"> prévoit une exception pour les mesures qui sont “nécessaires pour assurer l’application des lois et règlements qui ne sont pas incompatibles avec les dispositions du présent Accord, tels que, par exemple, les lois et règlements qui ont trait à l’application des mesures douanières, au maintien en vigueur des monopoles administrés conformément au paragraphe 4 de l’article II et à l’article XVII, à la protection des brevets, marques de fabrique et droits d’auteur et de reproduction et aux mesures propres à empêcher les pratiques de nature à induire en erreur.”</w:t>
      </w:r>
    </w:p>
  </w:footnote>
  <w:footnote w:id="333">
    <w:p w14:paraId="77D0103A" w14:textId="113E0137" w:rsidR="00C14253" w:rsidRPr="00570190" w:rsidRDefault="00C14253" w:rsidP="003D2BD1">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Cigarettes</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rapport du Groupe spécial, § 74 ; </w:t>
      </w:r>
      <w:r w:rsidRPr="00570190">
        <w:rPr>
          <w:rFonts w:ascii="Times New Roman" w:hAnsi="Times New Roman" w:cs="Times New Roman"/>
          <w:i/>
          <w:sz w:val="20"/>
          <w:szCs w:val="20"/>
        </w:rPr>
        <w:t>Guides des règles et pratiques du GATT, Index analytique</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613 ;</w:t>
      </w:r>
      <w:r w:rsidRPr="00570190">
        <w:rPr>
          <w:rFonts w:ascii="Times New Roman" w:hAnsi="Times New Roman" w:cs="Times New Roman"/>
          <w:smallCaps/>
          <w:sz w:val="20"/>
          <w:szCs w:val="20"/>
        </w:rPr>
        <w:t xml:space="preserve"> P. Van den Bossche</w:t>
      </w:r>
      <w:r w:rsidRPr="00570190">
        <w:rPr>
          <w:rFonts w:ascii="Times New Roman" w:hAnsi="Times New Roman" w:cs="Times New Roman"/>
          <w:sz w:val="20"/>
          <w:szCs w:val="20"/>
        </w:rPr>
        <w:t>, W.</w:t>
      </w:r>
      <w:r w:rsidRPr="00570190">
        <w:rPr>
          <w:rFonts w:ascii="Times New Roman" w:hAnsi="Times New Roman" w:cs="Times New Roman"/>
          <w:smallCaps/>
          <w:sz w:val="20"/>
          <w:szCs w:val="20"/>
        </w:rPr>
        <w:t xml:space="preserve"> Zdouc</w:t>
      </w:r>
      <w:r w:rsidRPr="00570190">
        <w:rPr>
          <w:rFonts w:ascii="Times New Roman" w:hAnsi="Times New Roman" w:cs="Times New Roman"/>
          <w:sz w:val="20"/>
          <w:szCs w:val="20"/>
        </w:rPr>
        <w:t xml:space="preserve">, pp. 547 à 549 ; G. </w:t>
      </w:r>
      <w:r w:rsidRPr="00570190">
        <w:rPr>
          <w:rFonts w:ascii="Times New Roman" w:hAnsi="Times New Roman" w:cs="Times New Roman"/>
          <w:smallCaps/>
          <w:sz w:val="20"/>
          <w:szCs w:val="20"/>
        </w:rPr>
        <w:t>Van Calster</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rPr>
        <w:t>74.</w:t>
      </w:r>
    </w:p>
  </w:footnote>
  <w:footnote w:id="334">
    <w:p w14:paraId="040B6C12" w14:textId="36DABF4E" w:rsidR="00C14253" w:rsidRPr="00570190" w:rsidRDefault="00C14253" w:rsidP="001611EB">
      <w:pPr>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Cigarettes</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rapport du Groupe spécial, § 74; P. </w:t>
      </w:r>
      <w:r w:rsidRPr="00570190">
        <w:rPr>
          <w:rFonts w:ascii="Times New Roman" w:hAnsi="Times New Roman" w:cs="Times New Roman"/>
          <w:smallCaps/>
          <w:sz w:val="20"/>
          <w:szCs w:val="20"/>
        </w:rPr>
        <w:t>Van den Bossche</w:t>
      </w:r>
      <w:r w:rsidRPr="00570190">
        <w:rPr>
          <w:rFonts w:ascii="Times New Roman" w:hAnsi="Times New Roman" w:cs="Times New Roman"/>
          <w:sz w:val="20"/>
          <w:szCs w:val="20"/>
        </w:rPr>
        <w:t xml:space="preserve">, W. </w:t>
      </w:r>
      <w:r w:rsidRPr="00570190">
        <w:rPr>
          <w:rFonts w:ascii="Times New Roman" w:hAnsi="Times New Roman" w:cs="Times New Roman"/>
          <w:smallCaps/>
          <w:sz w:val="20"/>
          <w:szCs w:val="20"/>
        </w:rPr>
        <w:t>Zdouc</w:t>
      </w:r>
      <w:r w:rsidRPr="00570190">
        <w:rPr>
          <w:rFonts w:ascii="Times New Roman" w:hAnsi="Times New Roman" w:cs="Times New Roman"/>
          <w:sz w:val="20"/>
          <w:szCs w:val="20"/>
        </w:rPr>
        <w:t>,</w:t>
      </w:r>
      <w:r w:rsidRPr="00570190">
        <w:rPr>
          <w:rFonts w:ascii="Times New Roman" w:hAnsi="Times New Roman" w:cs="Times New Roman"/>
          <w:i/>
          <w:sz w:val="20"/>
          <w:szCs w:val="20"/>
        </w:rPr>
        <w:t xml:space="preserve"> op. cit., </w:t>
      </w:r>
      <w:r w:rsidRPr="00570190">
        <w:rPr>
          <w:rFonts w:ascii="Times New Roman" w:hAnsi="Times New Roman" w:cs="Times New Roman"/>
          <w:sz w:val="20"/>
          <w:szCs w:val="20"/>
        </w:rPr>
        <w:t>p. 563.</w:t>
      </w:r>
    </w:p>
  </w:footnote>
  <w:footnote w:id="335">
    <w:p w14:paraId="453DB0B3" w14:textId="1C8FB451" w:rsidR="00C14253" w:rsidRPr="00570190" w:rsidRDefault="00C14253" w:rsidP="005F7C9D">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E. C</w:t>
      </w:r>
      <w:r w:rsidRPr="00570190">
        <w:rPr>
          <w:rFonts w:ascii="Times New Roman" w:hAnsi="Times New Roman" w:cs="Times New Roman"/>
          <w:smallCaps/>
          <w:sz w:val="20"/>
          <w:szCs w:val="20"/>
        </w:rPr>
        <w:t>anal-Forgues, T. Flory,</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xml:space="preserve">, p. 370; G. </w:t>
      </w:r>
      <w:r w:rsidRPr="00570190">
        <w:rPr>
          <w:rFonts w:ascii="Times New Roman" w:hAnsi="Times New Roman" w:cs="Times New Roman"/>
          <w:smallCaps/>
          <w:sz w:val="20"/>
          <w:szCs w:val="20"/>
        </w:rPr>
        <w:t>Van Calster</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rPr>
        <w:t xml:space="preserve">74. ; </w:t>
      </w:r>
      <w:r w:rsidRPr="00570190">
        <w:rPr>
          <w:rFonts w:ascii="Times New Roman" w:hAnsi="Times New Roman" w:cs="Times New Roman"/>
          <w:smallCaps/>
          <w:sz w:val="20"/>
          <w:szCs w:val="20"/>
        </w:rPr>
        <w:t>S</w:t>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 xml:space="preserve">Zlepting, </w:t>
      </w:r>
      <w:r w:rsidRPr="00570190">
        <w:rPr>
          <w:rFonts w:ascii="Times New Roman" w:hAnsi="Times New Roman" w:cs="Times New Roman"/>
          <w:i/>
          <w:sz w:val="20"/>
          <w:szCs w:val="20"/>
          <w:lang w:val="nl-NL"/>
        </w:rPr>
        <w:t xml:space="preserve">op. cit., </w:t>
      </w:r>
      <w:r w:rsidRPr="00570190">
        <w:rPr>
          <w:rFonts w:ascii="Times New Roman" w:hAnsi="Times New Roman" w:cs="Times New Roman"/>
          <w:sz w:val="20"/>
          <w:szCs w:val="20"/>
          <w:lang w:val="nl-NL"/>
        </w:rPr>
        <w:t>pp. 230 et 233.</w:t>
      </w:r>
    </w:p>
  </w:footnote>
  <w:footnote w:id="336">
    <w:p w14:paraId="6AB0ABC6" w14:textId="73253EF9" w:rsidR="00C14253" w:rsidRPr="00570190" w:rsidRDefault="00C14253" w:rsidP="00F00297">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Cigarettes</w:t>
      </w:r>
      <w:r w:rsidRPr="00570190">
        <w:rPr>
          <w:rFonts w:ascii="Times New Roman" w:hAnsi="Times New Roman" w:cs="Times New Roman"/>
          <w:sz w:val="20"/>
          <w:szCs w:val="20"/>
        </w:rPr>
        <w:t>,</w:t>
      </w:r>
      <w:r w:rsidRPr="00570190">
        <w:rPr>
          <w:rFonts w:ascii="Times New Roman" w:hAnsi="Times New Roman" w:cs="Times New Roman"/>
          <w:sz w:val="20"/>
          <w:szCs w:val="20"/>
          <w:lang w:val="nl-NL"/>
        </w:rPr>
        <w:t xml:space="preserve"> rapport du Groupe spécial, §74 ;</w:t>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F. Roessler,</w:t>
      </w:r>
      <w:r w:rsidRPr="00570190">
        <w:rPr>
          <w:rFonts w:ascii="Times New Roman" w:hAnsi="Times New Roman" w:cs="Times New Roman"/>
          <w:i/>
          <w:sz w:val="20"/>
          <w:szCs w:val="20"/>
        </w:rPr>
        <w:t xml:space="preserve"> Guide des règles et pratiques du GATT, Index analytique</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 612 ; P. </w:t>
      </w:r>
      <w:r w:rsidRPr="00570190">
        <w:rPr>
          <w:rFonts w:ascii="Times New Roman" w:hAnsi="Times New Roman" w:cs="Times New Roman"/>
          <w:smallCaps/>
          <w:sz w:val="20"/>
          <w:szCs w:val="20"/>
        </w:rPr>
        <w:t>Van den Bossche</w:t>
      </w:r>
      <w:r w:rsidRPr="00570190">
        <w:rPr>
          <w:rFonts w:ascii="Times New Roman" w:hAnsi="Times New Roman" w:cs="Times New Roman"/>
          <w:sz w:val="20"/>
          <w:szCs w:val="20"/>
        </w:rPr>
        <w:t>, W.</w:t>
      </w:r>
      <w:r w:rsidRPr="00570190">
        <w:rPr>
          <w:rFonts w:ascii="Times New Roman" w:hAnsi="Times New Roman" w:cs="Times New Roman"/>
          <w:smallCaps/>
          <w:sz w:val="20"/>
          <w:szCs w:val="20"/>
        </w:rPr>
        <w:t xml:space="preserve"> Zdouc</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rPr>
        <w:t>p. 546.</w:t>
      </w:r>
    </w:p>
  </w:footnote>
  <w:footnote w:id="337">
    <w:p w14:paraId="16BAC896" w14:textId="77777777" w:rsidR="00C14253" w:rsidRPr="00570190" w:rsidRDefault="00C14253" w:rsidP="005F7C9D">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Rapport du Groupe spécial “Etats-Unis – L’article 337 de la Loi douanière de 1930” (L/6439 § 5.26, adopté le 7 novembre 1989).</w:t>
      </w:r>
    </w:p>
  </w:footnote>
  <w:footnote w:id="338">
    <w:p w14:paraId="0A972C69" w14:textId="3E933BAD"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Guide des règles et pratiques du GATT, Index analytique</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w:t>
      </w:r>
      <w:r w:rsidRPr="00570190">
        <w:rPr>
          <w:rFonts w:ascii="Times New Roman" w:hAnsi="Times New Roman" w:cs="Times New Roman"/>
          <w:sz w:val="20"/>
          <w:szCs w:val="20"/>
          <w:lang w:val="nl-NL"/>
        </w:rPr>
        <w:t xml:space="preserve"> p. 612.</w:t>
      </w:r>
    </w:p>
  </w:footnote>
  <w:footnote w:id="339">
    <w:p w14:paraId="16ADED6C" w14:textId="2BD414DD" w:rsidR="00C14253" w:rsidRPr="00570190" w:rsidRDefault="00C14253" w:rsidP="005F7C9D">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Cigarettes</w:t>
      </w:r>
      <w:r w:rsidRPr="00570190">
        <w:rPr>
          <w:rFonts w:ascii="Times New Roman" w:hAnsi="Times New Roman" w:cs="Times New Roman"/>
          <w:sz w:val="20"/>
          <w:szCs w:val="20"/>
        </w:rPr>
        <w:t>, rapport, du Groupe spécial, § 74.</w:t>
      </w:r>
    </w:p>
  </w:footnote>
  <w:footnote w:id="340">
    <w:p w14:paraId="297A144A" w14:textId="40705A2D" w:rsidR="00C14253" w:rsidRPr="00570190" w:rsidRDefault="00C14253" w:rsidP="005F7C9D">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Rapport du Groupe spécial </w:t>
      </w:r>
      <w:r w:rsidRPr="00570190">
        <w:rPr>
          <w:rFonts w:ascii="Times New Roman" w:hAnsi="Times New Roman" w:cs="Times New Roman"/>
          <w:i/>
          <w:sz w:val="20"/>
          <w:szCs w:val="20"/>
          <w:lang w:val="nl-NL"/>
        </w:rPr>
        <w:t>“Etats-Unis – L’article 337 de la Loi douanière de 1930”,</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xml:space="preserve"> § 5.26.</w:t>
      </w:r>
    </w:p>
  </w:footnote>
  <w:footnote w:id="341">
    <w:p w14:paraId="5FF65F7E" w14:textId="44D5C2C4" w:rsidR="00C14253" w:rsidRPr="00570190" w:rsidRDefault="00C14253" w:rsidP="005F7C9D">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 526.</w:t>
      </w:r>
    </w:p>
  </w:footnote>
  <w:footnote w:id="342">
    <w:p w14:paraId="07C9319B" w14:textId="6465F3F8" w:rsidR="00C14253" w:rsidRPr="00570190" w:rsidRDefault="00C14253" w:rsidP="005F7C9D">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”Pratique du GATT/de l’OMC”, p. 16;  M. </w:t>
      </w:r>
      <w:r w:rsidRPr="00570190">
        <w:rPr>
          <w:rFonts w:ascii="Times New Roman" w:hAnsi="Times New Roman" w:cs="Times New Roman"/>
          <w:smallCaps/>
          <w:sz w:val="20"/>
          <w:szCs w:val="20"/>
          <w:lang w:val="nl-NL"/>
        </w:rPr>
        <w:t>Prost</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xml:space="preserve"> p. 34.</w:t>
      </w:r>
    </w:p>
  </w:footnote>
  <w:footnote w:id="343">
    <w:p w14:paraId="5ECB48BF" w14:textId="77777777" w:rsidR="00C14253" w:rsidRPr="00570190" w:rsidRDefault="00C14253" w:rsidP="005F7C9D">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Le terme “nécessaire” dans l’article XX </w:t>
      </w:r>
      <w:r w:rsidRPr="00570190">
        <w:rPr>
          <w:rFonts w:ascii="Times New Roman" w:hAnsi="Times New Roman" w:cs="Times New Roman"/>
          <w:i/>
          <w:sz w:val="20"/>
          <w:szCs w:val="20"/>
          <w:lang w:val="nl-NL"/>
        </w:rPr>
        <w:t>d)</w:t>
      </w:r>
      <w:r w:rsidRPr="00570190">
        <w:rPr>
          <w:rFonts w:ascii="Times New Roman" w:hAnsi="Times New Roman" w:cs="Times New Roman"/>
          <w:sz w:val="20"/>
          <w:szCs w:val="20"/>
          <w:lang w:val="nl-NL"/>
        </w:rPr>
        <w:t xml:space="preserve"> est considéré “comme étant une mesure prise par une partie contractante, en l’absence d’une autre mesure dont on pourrait attendre raisonnablement que cette partie l’emploie, et qui n’est pas incompatible avec les dispositions de l’Accord général”.</w:t>
      </w:r>
    </w:p>
  </w:footnote>
  <w:footnote w:id="344">
    <w:p w14:paraId="37B2BA07" w14:textId="5718F689" w:rsidR="00C14253" w:rsidRPr="00570190" w:rsidRDefault="00C14253" w:rsidP="009B4135">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E. </w:t>
      </w:r>
      <w:r w:rsidRPr="00570190">
        <w:rPr>
          <w:rFonts w:ascii="Times New Roman" w:hAnsi="Times New Roman" w:cs="Times New Roman"/>
          <w:smallCaps/>
          <w:sz w:val="20"/>
          <w:szCs w:val="20"/>
        </w:rPr>
        <w:t xml:space="preserve">Canal-Forgues, T. Flory, </w:t>
      </w:r>
      <w:r w:rsidRPr="00570190">
        <w:rPr>
          <w:rFonts w:ascii="Times New Roman" w:hAnsi="Times New Roman" w:cs="Times New Roman"/>
          <w:i/>
          <w:sz w:val="20"/>
          <w:szCs w:val="20"/>
        </w:rPr>
        <w:t>op. cit.</w:t>
      </w:r>
      <w:r w:rsidRPr="00570190">
        <w:rPr>
          <w:rFonts w:ascii="Times New Roman" w:hAnsi="Times New Roman" w:cs="Times New Roman"/>
          <w:sz w:val="20"/>
          <w:szCs w:val="20"/>
        </w:rPr>
        <w:t>,</w:t>
      </w:r>
      <w:r w:rsidRPr="00570190">
        <w:rPr>
          <w:rFonts w:ascii="Times New Roman" w:hAnsi="Times New Roman" w:cs="Times New Roman"/>
          <w:sz w:val="20"/>
          <w:szCs w:val="20"/>
          <w:lang w:val="nl-NL"/>
        </w:rPr>
        <w:t xml:space="preserve"> p. 373.; </w:t>
      </w:r>
      <w:r w:rsidRPr="00570190">
        <w:rPr>
          <w:rFonts w:ascii="Times New Roman" w:hAnsi="Times New Roman" w:cs="Times New Roman"/>
          <w:i/>
          <w:sz w:val="20"/>
          <w:szCs w:val="20"/>
          <w:lang w:val="nl-NL"/>
        </w:rPr>
        <w:t>Cigarettes</w:t>
      </w:r>
      <w:r w:rsidRPr="00570190">
        <w:rPr>
          <w:rFonts w:ascii="Times New Roman" w:hAnsi="Times New Roman" w:cs="Times New Roman"/>
          <w:sz w:val="20"/>
          <w:szCs w:val="20"/>
          <w:lang w:val="nl-NL"/>
        </w:rPr>
        <w:t>, rapport du Groupe spécial, §§ 74 et 75.</w:t>
      </w:r>
    </w:p>
  </w:footnote>
  <w:footnote w:id="345">
    <w:p w14:paraId="374686D0" w14:textId="7344FFC5" w:rsidR="00C14253" w:rsidRPr="005354AF" w:rsidRDefault="00C14253" w:rsidP="005F7C9D">
      <w:pPr>
        <w:pStyle w:val="Notedebasdepage"/>
        <w:jc w:val="both"/>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z w:val="20"/>
          <w:szCs w:val="20"/>
        </w:rPr>
        <w:t xml:space="preserve"> La violation de l’Accord général n’est dès lors pas justifiée au titre de l’article XX </w:t>
      </w:r>
      <w:r w:rsidRPr="005354AF">
        <w:rPr>
          <w:rFonts w:ascii="Times New Roman" w:hAnsi="Times New Roman" w:cs="Times New Roman"/>
          <w:i/>
          <w:sz w:val="20"/>
          <w:szCs w:val="20"/>
        </w:rPr>
        <w:t>b)</w:t>
      </w:r>
      <w:r w:rsidRPr="005354AF">
        <w:rPr>
          <w:rFonts w:ascii="Times New Roman" w:hAnsi="Times New Roman" w:cs="Times New Roman"/>
          <w:sz w:val="20"/>
          <w:szCs w:val="20"/>
        </w:rPr>
        <w:t xml:space="preserve">. Le Groupe spécial a ainsi conclu que les restrictions à l’importation étaient incompatibles avec l’article XI§1 et qu’elles n’étaient pas justifiées par l’article XI§2 c). De plus, il a constaté que les restrictions à l’importation n’étaient pas « nécessaires » au sens de l’article XX </w:t>
      </w:r>
      <w:r w:rsidRPr="005354AF">
        <w:rPr>
          <w:rFonts w:ascii="Times New Roman" w:hAnsi="Times New Roman" w:cs="Times New Roman"/>
          <w:i/>
          <w:sz w:val="20"/>
          <w:szCs w:val="20"/>
        </w:rPr>
        <w:t>b)</w:t>
      </w:r>
      <w:r w:rsidRPr="005354AF">
        <w:rPr>
          <w:rFonts w:ascii="Times New Roman" w:hAnsi="Times New Roman" w:cs="Times New Roman"/>
          <w:sz w:val="20"/>
          <w:szCs w:val="20"/>
        </w:rPr>
        <w:t>. En outre, il a considéré que les taxes intérieurs étaient compatibles avec l’article III§2. (https://www.wto.org/french/tratop_f/envir_f/edis03_f.htm)</w:t>
      </w:r>
    </w:p>
  </w:footnote>
  <w:footnote w:id="346">
    <w:p w14:paraId="2DC56400" w14:textId="5637182A" w:rsidR="00C14253" w:rsidRPr="005354AF" w:rsidRDefault="00C14253">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mallCaps/>
          <w:sz w:val="20"/>
          <w:szCs w:val="20"/>
        </w:rPr>
        <w:t xml:space="preserve"> </w:t>
      </w:r>
      <w:r w:rsidRPr="005354AF">
        <w:rPr>
          <w:rFonts w:ascii="Times New Roman" w:hAnsi="Times New Roman" w:cs="Times New Roman"/>
          <w:i/>
          <w:sz w:val="20"/>
          <w:szCs w:val="20"/>
        </w:rPr>
        <w:t>Guide des règles et pratiques du GATT, Index analytique</w:t>
      </w:r>
      <w:r w:rsidRPr="005354AF">
        <w:rPr>
          <w:rFonts w:ascii="Times New Roman" w:hAnsi="Times New Roman" w:cs="Times New Roman"/>
          <w:sz w:val="20"/>
          <w:szCs w:val="20"/>
          <w:lang w:val="nl-NL"/>
        </w:rPr>
        <w:t xml:space="preserve">, </w:t>
      </w:r>
      <w:r w:rsidRPr="005354AF">
        <w:rPr>
          <w:rFonts w:ascii="Times New Roman" w:hAnsi="Times New Roman" w:cs="Times New Roman"/>
          <w:i/>
          <w:sz w:val="20"/>
          <w:szCs w:val="20"/>
          <w:lang w:val="nl-NL"/>
        </w:rPr>
        <w:t>op. cit.</w:t>
      </w:r>
      <w:r w:rsidRPr="005354AF">
        <w:rPr>
          <w:rFonts w:ascii="Times New Roman" w:hAnsi="Times New Roman" w:cs="Times New Roman"/>
          <w:sz w:val="20"/>
          <w:szCs w:val="20"/>
        </w:rPr>
        <w:t>, pp. 615-616.</w:t>
      </w:r>
    </w:p>
  </w:footnote>
  <w:footnote w:id="347">
    <w:p w14:paraId="66DD5DCF" w14:textId="3B4E9F0F" w:rsidR="00C14253" w:rsidRPr="005354AF" w:rsidRDefault="00C14253" w:rsidP="004E4F7C">
      <w:pPr>
        <w:jc w:val="both"/>
        <w:rPr>
          <w:rFonts w:ascii="Times New Roman" w:hAnsi="Times New Roman" w:cs="Times New Roman"/>
          <w:sz w:val="20"/>
          <w:szCs w:val="20"/>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mallCaps/>
          <w:sz w:val="20"/>
          <w:szCs w:val="20"/>
        </w:rPr>
        <w:t xml:space="preserve"> </w:t>
      </w:r>
      <w:r w:rsidRPr="005354AF">
        <w:rPr>
          <w:rFonts w:ascii="Times New Roman" w:hAnsi="Times New Roman" w:cs="Times New Roman"/>
          <w:i/>
          <w:sz w:val="20"/>
          <w:szCs w:val="20"/>
          <w:lang w:val="nl-NL"/>
        </w:rPr>
        <w:t>Ibid.</w:t>
      </w:r>
      <w:r w:rsidRPr="005354AF">
        <w:rPr>
          <w:rFonts w:ascii="Times New Roman" w:hAnsi="Times New Roman" w:cs="Times New Roman"/>
          <w:sz w:val="20"/>
          <w:szCs w:val="20"/>
          <w:lang w:val="nl-NL"/>
        </w:rPr>
        <w:t xml:space="preserve">, pp. 616 et 617; </w:t>
      </w:r>
      <w:r w:rsidRPr="005354AF">
        <w:rPr>
          <w:rFonts w:ascii="Times New Roman" w:hAnsi="Times New Roman" w:cs="Times New Roman"/>
          <w:i/>
          <w:sz w:val="20"/>
          <w:szCs w:val="20"/>
          <w:lang w:val="nl-NL"/>
        </w:rPr>
        <w:t>Thon I</w:t>
      </w:r>
      <w:r w:rsidRPr="005354AF">
        <w:rPr>
          <w:rFonts w:ascii="Times New Roman" w:hAnsi="Times New Roman" w:cs="Times New Roman"/>
          <w:sz w:val="20"/>
          <w:szCs w:val="20"/>
          <w:lang w:val="nl-NL"/>
        </w:rPr>
        <w:t xml:space="preserve">, § 5.28; B. </w:t>
      </w:r>
      <w:r w:rsidRPr="005354AF">
        <w:rPr>
          <w:rFonts w:ascii="Times New Roman" w:hAnsi="Times New Roman" w:cs="Times New Roman"/>
          <w:smallCaps/>
          <w:sz w:val="20"/>
          <w:szCs w:val="20"/>
        </w:rPr>
        <w:t>Stern, H. Ruiz Fabri, H.</w:t>
      </w:r>
      <w:r w:rsidRPr="005354AF">
        <w:rPr>
          <w:rFonts w:ascii="Times New Roman" w:hAnsi="Times New Roman" w:cs="Times New Roman"/>
          <w:sz w:val="20"/>
          <w:szCs w:val="20"/>
        </w:rPr>
        <w:t xml:space="preserve">, </w:t>
      </w:r>
      <w:r w:rsidRPr="005354AF">
        <w:rPr>
          <w:rFonts w:ascii="Times New Roman" w:hAnsi="Times New Roman" w:cs="Times New Roman"/>
          <w:i/>
          <w:sz w:val="20"/>
          <w:szCs w:val="20"/>
        </w:rPr>
        <w:t>The Case-Law of the WTO, La jurisprudence de l’OMC, 1996-1997</w:t>
      </w:r>
      <w:r w:rsidRPr="005354AF">
        <w:rPr>
          <w:rFonts w:ascii="Times New Roman" w:hAnsi="Times New Roman" w:cs="Times New Roman"/>
          <w:sz w:val="20"/>
          <w:szCs w:val="20"/>
        </w:rPr>
        <w:t xml:space="preserve">, p. 101 ; M. </w:t>
      </w:r>
      <w:r w:rsidRPr="005354AF">
        <w:rPr>
          <w:rFonts w:ascii="Times New Roman" w:hAnsi="Times New Roman" w:cs="Times New Roman"/>
          <w:smallCaps/>
          <w:sz w:val="20"/>
          <w:szCs w:val="20"/>
          <w:lang w:val="nl-NL"/>
        </w:rPr>
        <w:t>Prost</w:t>
      </w:r>
      <w:r w:rsidRPr="005354AF">
        <w:rPr>
          <w:rFonts w:ascii="Times New Roman" w:hAnsi="Times New Roman" w:cs="Times New Roman"/>
          <w:sz w:val="20"/>
          <w:szCs w:val="20"/>
          <w:lang w:val="nl-NL"/>
        </w:rPr>
        <w:t xml:space="preserve">, </w:t>
      </w:r>
      <w:r w:rsidRPr="005354AF">
        <w:rPr>
          <w:rFonts w:ascii="Times New Roman" w:hAnsi="Times New Roman" w:cs="Times New Roman"/>
          <w:i/>
          <w:sz w:val="20"/>
          <w:szCs w:val="20"/>
          <w:lang w:val="nl-NL"/>
        </w:rPr>
        <w:t>op. cit.,</w:t>
      </w:r>
      <w:r w:rsidRPr="005354AF">
        <w:rPr>
          <w:rFonts w:ascii="Times New Roman" w:hAnsi="Times New Roman" w:cs="Times New Roman"/>
          <w:sz w:val="20"/>
          <w:szCs w:val="20"/>
          <w:lang w:val="nl-NL"/>
        </w:rPr>
        <w:t xml:space="preserve"> p. 36. Voir: </w:t>
      </w:r>
      <w:r w:rsidRPr="005354AF">
        <w:rPr>
          <w:rFonts w:ascii="Times New Roman" w:hAnsi="Times New Roman" w:cs="Times New Roman"/>
          <w:sz w:val="20"/>
          <w:szCs w:val="20"/>
        </w:rPr>
        <w:t xml:space="preserve">« le fait que l’Etat doive non seulement envisagé toutes les mesures qu’il pouvait raisonnablement adopter mais également qu’il apporte la preuve qu’il les a « épuisées » semble accentuer le degré de difficulté du critère de nécessité ». </w:t>
      </w:r>
    </w:p>
  </w:footnote>
  <w:footnote w:id="348">
    <w:p w14:paraId="5564AFD4" w14:textId="362E72BF" w:rsidR="00C14253" w:rsidRPr="005354AF" w:rsidRDefault="00C14253" w:rsidP="00E7329A">
      <w:pPr>
        <w:jc w:val="both"/>
        <w:rPr>
          <w:rFonts w:ascii="Times New Roman" w:hAnsi="Times New Roman" w:cs="Times New Roman"/>
          <w:sz w:val="20"/>
          <w:szCs w:val="20"/>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z w:val="20"/>
          <w:szCs w:val="20"/>
        </w:rPr>
        <w:t xml:space="preserve"> </w:t>
      </w:r>
      <w:r w:rsidRPr="005354AF">
        <w:rPr>
          <w:rFonts w:ascii="Times New Roman" w:hAnsi="Times New Roman" w:cs="Times New Roman"/>
          <w:i/>
          <w:sz w:val="20"/>
          <w:szCs w:val="20"/>
        </w:rPr>
        <w:t>Guide des règles et pratiques du GATT, Index analytique</w:t>
      </w:r>
      <w:r w:rsidRPr="005354AF">
        <w:rPr>
          <w:rFonts w:ascii="Times New Roman" w:hAnsi="Times New Roman" w:cs="Times New Roman"/>
          <w:smallCaps/>
          <w:sz w:val="20"/>
          <w:szCs w:val="20"/>
        </w:rPr>
        <w:t>,</w:t>
      </w:r>
      <w:r w:rsidRPr="005354AF">
        <w:rPr>
          <w:rFonts w:ascii="Times New Roman" w:hAnsi="Times New Roman" w:cs="Times New Roman"/>
          <w:sz w:val="20"/>
          <w:szCs w:val="20"/>
          <w:lang w:val="nl-NL"/>
        </w:rPr>
        <w:t xml:space="preserve"> </w:t>
      </w:r>
      <w:r w:rsidRPr="005354AF">
        <w:rPr>
          <w:rFonts w:ascii="Times New Roman" w:hAnsi="Times New Roman" w:cs="Times New Roman"/>
          <w:i/>
          <w:sz w:val="20"/>
          <w:szCs w:val="20"/>
          <w:lang w:val="nl-NL"/>
        </w:rPr>
        <w:t xml:space="preserve">op. cit., </w:t>
      </w:r>
      <w:r w:rsidRPr="005354AF">
        <w:rPr>
          <w:rFonts w:ascii="Times New Roman" w:hAnsi="Times New Roman" w:cs="Times New Roman"/>
          <w:sz w:val="20"/>
          <w:szCs w:val="20"/>
          <w:lang w:val="nl-NL"/>
        </w:rPr>
        <w:t xml:space="preserve">p. 617.; D. </w:t>
      </w:r>
      <w:r w:rsidRPr="005354AF">
        <w:rPr>
          <w:rFonts w:ascii="Times New Roman" w:hAnsi="Times New Roman" w:cs="Times New Roman"/>
          <w:smallCaps/>
          <w:sz w:val="20"/>
          <w:szCs w:val="20"/>
        </w:rPr>
        <w:t>Chow, T. Schoenbaum,</w:t>
      </w:r>
      <w:r w:rsidRPr="005354AF">
        <w:rPr>
          <w:rFonts w:ascii="Times New Roman" w:hAnsi="Times New Roman" w:cs="Times New Roman"/>
          <w:sz w:val="20"/>
          <w:szCs w:val="20"/>
        </w:rPr>
        <w:t xml:space="preserve"> </w:t>
      </w:r>
      <w:r w:rsidRPr="005354AF">
        <w:rPr>
          <w:rFonts w:ascii="Times New Roman" w:hAnsi="Times New Roman" w:cs="Times New Roman"/>
          <w:i/>
          <w:sz w:val="20"/>
          <w:szCs w:val="20"/>
        </w:rPr>
        <w:t>International Trade Law, Problems, Cases, and Materials</w:t>
      </w:r>
      <w:r w:rsidRPr="005354AF">
        <w:rPr>
          <w:rFonts w:ascii="Times New Roman" w:hAnsi="Times New Roman" w:cs="Times New Roman"/>
          <w:sz w:val="20"/>
          <w:szCs w:val="20"/>
        </w:rPr>
        <w:t>, New York, Wolters Kluwer Law &amp; Business, 2013, p. 431.</w:t>
      </w:r>
    </w:p>
  </w:footnote>
  <w:footnote w:id="349">
    <w:p w14:paraId="12BA4BDC" w14:textId="5BD0DF9D" w:rsidR="00C14253" w:rsidRPr="005354AF" w:rsidRDefault="00C14253" w:rsidP="00CF3282">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z w:val="20"/>
          <w:szCs w:val="20"/>
        </w:rPr>
        <w:t xml:space="preserve"> </w:t>
      </w:r>
      <w:r w:rsidRPr="005354AF">
        <w:rPr>
          <w:rFonts w:ascii="Times New Roman" w:hAnsi="Times New Roman" w:cs="Times New Roman"/>
          <w:i/>
          <w:sz w:val="20"/>
          <w:szCs w:val="20"/>
          <w:lang w:val="nl-NL"/>
        </w:rPr>
        <w:t>Thon I</w:t>
      </w:r>
      <w:r w:rsidRPr="005354AF">
        <w:rPr>
          <w:rFonts w:ascii="Times New Roman" w:hAnsi="Times New Roman" w:cs="Times New Roman"/>
          <w:sz w:val="20"/>
          <w:szCs w:val="20"/>
          <w:lang w:val="nl-NL"/>
        </w:rPr>
        <w:t>, rapport du Groupe spécial, § 5.28.</w:t>
      </w:r>
    </w:p>
  </w:footnote>
  <w:footnote w:id="350">
    <w:p w14:paraId="0FFCE35C" w14:textId="7ABDC077" w:rsidR="00C14253" w:rsidRPr="005354AF" w:rsidRDefault="00C14253" w:rsidP="00CF3282">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z w:val="20"/>
          <w:szCs w:val="20"/>
          <w:lang w:val="nl-NL"/>
        </w:rPr>
        <w:t xml:space="preserve"> </w:t>
      </w:r>
      <w:r w:rsidRPr="005354AF">
        <w:rPr>
          <w:rFonts w:ascii="Times New Roman" w:hAnsi="Times New Roman" w:cs="Times New Roman"/>
          <w:i/>
          <w:sz w:val="20"/>
          <w:szCs w:val="20"/>
        </w:rPr>
        <w:t>Guide des règles et pratiques du GATT, Index analytique</w:t>
      </w:r>
      <w:r w:rsidRPr="005354AF">
        <w:rPr>
          <w:rFonts w:ascii="Times New Roman" w:hAnsi="Times New Roman" w:cs="Times New Roman"/>
          <w:sz w:val="20"/>
          <w:szCs w:val="20"/>
          <w:lang w:val="nl-NL"/>
        </w:rPr>
        <w:t xml:space="preserve">, </w:t>
      </w:r>
      <w:r w:rsidRPr="005354AF">
        <w:rPr>
          <w:rFonts w:ascii="Times New Roman" w:hAnsi="Times New Roman" w:cs="Times New Roman"/>
          <w:i/>
          <w:sz w:val="20"/>
          <w:szCs w:val="20"/>
          <w:lang w:val="nl-NL"/>
        </w:rPr>
        <w:t>op. cit.</w:t>
      </w:r>
      <w:r w:rsidRPr="005354AF">
        <w:rPr>
          <w:rFonts w:ascii="Times New Roman" w:hAnsi="Times New Roman" w:cs="Times New Roman"/>
          <w:sz w:val="20"/>
          <w:szCs w:val="20"/>
          <w:lang w:val="nl-NL"/>
        </w:rPr>
        <w:t>, p. 617.</w:t>
      </w:r>
    </w:p>
  </w:footnote>
  <w:footnote w:id="351">
    <w:p w14:paraId="73AAE8E1" w14:textId="73876184" w:rsidR="00C14253" w:rsidRPr="00570190" w:rsidRDefault="00C14253" w:rsidP="00CF3282">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z w:val="20"/>
          <w:szCs w:val="20"/>
        </w:rPr>
        <w:t xml:space="preserve"> </w:t>
      </w:r>
      <w:r w:rsidRPr="005354AF">
        <w:rPr>
          <w:rFonts w:ascii="Times New Roman" w:hAnsi="Times New Roman" w:cs="Times New Roman"/>
          <w:i/>
          <w:sz w:val="20"/>
          <w:szCs w:val="20"/>
          <w:lang w:val="nl-NL"/>
        </w:rPr>
        <w:t>Ibid.</w:t>
      </w:r>
      <w:r w:rsidRPr="005354AF">
        <w:rPr>
          <w:rFonts w:ascii="Times New Roman" w:hAnsi="Times New Roman" w:cs="Times New Roman"/>
          <w:sz w:val="20"/>
          <w:szCs w:val="20"/>
          <w:lang w:val="nl-NL"/>
        </w:rPr>
        <w:t xml:space="preserve">, p. 617; </w:t>
      </w:r>
      <w:r w:rsidRPr="005354AF">
        <w:rPr>
          <w:rFonts w:ascii="Times New Roman" w:hAnsi="Times New Roman" w:cs="Times New Roman"/>
          <w:i/>
          <w:sz w:val="20"/>
          <w:szCs w:val="20"/>
          <w:lang w:val="nl-NL"/>
        </w:rPr>
        <w:t>Thon I</w:t>
      </w:r>
      <w:r w:rsidRPr="005354AF">
        <w:rPr>
          <w:rFonts w:ascii="Times New Roman" w:hAnsi="Times New Roman" w:cs="Times New Roman"/>
          <w:sz w:val="20"/>
          <w:szCs w:val="20"/>
          <w:lang w:val="nl-NL"/>
        </w:rPr>
        <w:t>, rapport du Groupe spécial, § 5.29.</w:t>
      </w:r>
      <w:r w:rsidRPr="00570190">
        <w:rPr>
          <w:rFonts w:ascii="Times New Roman" w:hAnsi="Times New Roman" w:cs="Times New Roman"/>
          <w:sz w:val="20"/>
          <w:szCs w:val="20"/>
          <w:lang w:val="nl-NL"/>
        </w:rPr>
        <w:t xml:space="preserve">  </w:t>
      </w:r>
    </w:p>
  </w:footnote>
  <w:footnote w:id="352">
    <w:p w14:paraId="48D21F1C" w14:textId="0C7B9716" w:rsidR="00C14253" w:rsidRPr="005354AF" w:rsidRDefault="00C14253" w:rsidP="00E60118">
      <w:pPr>
        <w:rPr>
          <w:rFonts w:ascii="Times New Roman" w:hAnsi="Times New Roman" w:cs="Times New Roman"/>
          <w:sz w:val="20"/>
          <w:szCs w:val="20"/>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z w:val="20"/>
          <w:szCs w:val="20"/>
        </w:rPr>
        <w:t xml:space="preserve"> </w:t>
      </w:r>
      <w:r w:rsidRPr="005354AF">
        <w:rPr>
          <w:rFonts w:ascii="Times New Roman" w:hAnsi="Times New Roman" w:cs="Times New Roman"/>
          <w:i/>
          <w:sz w:val="20"/>
          <w:szCs w:val="20"/>
          <w:lang w:val="nl-NL"/>
        </w:rPr>
        <w:t>Essence</w:t>
      </w:r>
      <w:r w:rsidRPr="005354AF">
        <w:rPr>
          <w:rFonts w:ascii="Times New Roman" w:hAnsi="Times New Roman" w:cs="Times New Roman"/>
          <w:sz w:val="20"/>
          <w:szCs w:val="20"/>
          <w:lang w:val="nl-NL"/>
        </w:rPr>
        <w:t xml:space="preserve">, rapport du Groupe spécial, § 6.25; P. </w:t>
      </w:r>
      <w:r w:rsidRPr="005354AF">
        <w:rPr>
          <w:rFonts w:ascii="Times New Roman" w:hAnsi="Times New Roman" w:cs="Times New Roman"/>
          <w:smallCaps/>
          <w:sz w:val="20"/>
          <w:szCs w:val="20"/>
        </w:rPr>
        <w:t>Van den Bossche</w:t>
      </w:r>
      <w:r w:rsidRPr="005354AF">
        <w:rPr>
          <w:rFonts w:ascii="Times New Roman" w:hAnsi="Times New Roman" w:cs="Times New Roman"/>
          <w:sz w:val="20"/>
          <w:szCs w:val="20"/>
        </w:rPr>
        <w:t xml:space="preserve">, W. </w:t>
      </w:r>
      <w:r w:rsidRPr="005354AF">
        <w:rPr>
          <w:rFonts w:ascii="Times New Roman" w:hAnsi="Times New Roman" w:cs="Times New Roman"/>
          <w:smallCaps/>
          <w:sz w:val="20"/>
          <w:szCs w:val="20"/>
        </w:rPr>
        <w:t xml:space="preserve"> Zdouc</w:t>
      </w:r>
      <w:r w:rsidRPr="005354AF">
        <w:rPr>
          <w:rFonts w:ascii="Times New Roman" w:hAnsi="Times New Roman" w:cs="Times New Roman"/>
          <w:sz w:val="20"/>
          <w:szCs w:val="20"/>
        </w:rPr>
        <w:t xml:space="preserve">, </w:t>
      </w:r>
      <w:r w:rsidRPr="005354AF">
        <w:rPr>
          <w:rFonts w:ascii="Times New Roman" w:hAnsi="Times New Roman" w:cs="Times New Roman"/>
          <w:i/>
          <w:sz w:val="20"/>
          <w:szCs w:val="20"/>
        </w:rPr>
        <w:t>op. cit.</w:t>
      </w:r>
      <w:r w:rsidRPr="005354AF">
        <w:rPr>
          <w:rFonts w:ascii="Times New Roman" w:hAnsi="Times New Roman" w:cs="Times New Roman"/>
          <w:sz w:val="20"/>
          <w:szCs w:val="20"/>
        </w:rPr>
        <w:t>, p. 561.</w:t>
      </w:r>
    </w:p>
  </w:footnote>
  <w:footnote w:id="353">
    <w:p w14:paraId="40004DF6" w14:textId="7AB91FDC" w:rsidR="00C14253" w:rsidRPr="005354AF" w:rsidRDefault="00C14253" w:rsidP="00733BCD">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z w:val="20"/>
          <w:szCs w:val="20"/>
        </w:rPr>
        <w:t xml:space="preserve"> </w:t>
      </w:r>
      <w:r w:rsidRPr="005354AF">
        <w:rPr>
          <w:rFonts w:ascii="Times New Roman" w:hAnsi="Times New Roman" w:cs="Times New Roman"/>
          <w:i/>
          <w:sz w:val="20"/>
          <w:szCs w:val="20"/>
          <w:lang w:val="nl-NL"/>
        </w:rPr>
        <w:t>Essence</w:t>
      </w:r>
      <w:r w:rsidRPr="005354AF">
        <w:rPr>
          <w:rFonts w:ascii="Times New Roman" w:hAnsi="Times New Roman" w:cs="Times New Roman"/>
          <w:sz w:val="20"/>
          <w:szCs w:val="20"/>
          <w:lang w:val="nl-NL"/>
        </w:rPr>
        <w:t>, rapport du Groupe spécial, § 6.25;</w:t>
      </w:r>
      <w:r w:rsidRPr="005354AF">
        <w:rPr>
          <w:rFonts w:ascii="Times New Roman" w:hAnsi="Times New Roman" w:cs="Times New Roman"/>
          <w:smallCaps/>
          <w:sz w:val="20"/>
          <w:szCs w:val="20"/>
        </w:rPr>
        <w:t xml:space="preserve"> B. Stern, H. Ruiz Fabri,</w:t>
      </w:r>
      <w:r w:rsidRPr="005354AF">
        <w:rPr>
          <w:rFonts w:ascii="Times New Roman" w:hAnsi="Times New Roman" w:cs="Times New Roman"/>
          <w:sz w:val="20"/>
          <w:szCs w:val="20"/>
        </w:rPr>
        <w:t xml:space="preserve"> </w:t>
      </w:r>
      <w:r w:rsidRPr="005354AF">
        <w:rPr>
          <w:rFonts w:ascii="Times New Roman" w:hAnsi="Times New Roman" w:cs="Times New Roman"/>
          <w:i/>
          <w:sz w:val="20"/>
          <w:szCs w:val="20"/>
        </w:rPr>
        <w:t>The Case-Law of the WTO, La jurisprudence de l’OMC, 1998</w:t>
      </w:r>
      <w:r w:rsidRPr="005354AF">
        <w:rPr>
          <w:rFonts w:ascii="Times New Roman" w:hAnsi="Times New Roman" w:cs="Times New Roman"/>
          <w:sz w:val="20"/>
          <w:szCs w:val="20"/>
        </w:rPr>
        <w:t xml:space="preserve">, </w:t>
      </w:r>
      <w:r w:rsidRPr="005354AF">
        <w:rPr>
          <w:rFonts w:ascii="Times New Roman" w:hAnsi="Times New Roman" w:cs="Times New Roman"/>
          <w:i/>
          <w:sz w:val="20"/>
          <w:szCs w:val="20"/>
        </w:rPr>
        <w:t>op. cit.</w:t>
      </w:r>
      <w:r w:rsidRPr="005354AF">
        <w:rPr>
          <w:rFonts w:ascii="Times New Roman" w:hAnsi="Times New Roman" w:cs="Times New Roman"/>
          <w:sz w:val="20"/>
          <w:szCs w:val="20"/>
        </w:rPr>
        <w:t>, p. 157.</w:t>
      </w:r>
    </w:p>
  </w:footnote>
  <w:footnote w:id="354">
    <w:p w14:paraId="66BBB992" w14:textId="056E8A09" w:rsidR="00C14253" w:rsidRPr="00C14253" w:rsidRDefault="00C14253" w:rsidP="00733BCD">
      <w:pPr>
        <w:pStyle w:val="Notedebasdepage"/>
        <w:rPr>
          <w:rFonts w:ascii="Times New Roman" w:hAnsi="Times New Roman" w:cs="Times New Roman"/>
          <w:sz w:val="20"/>
          <w:szCs w:val="20"/>
          <w:lang w:val="nl-NL"/>
        </w:rPr>
      </w:pPr>
      <w:r w:rsidRPr="00C14253">
        <w:rPr>
          <w:rStyle w:val="Marquenotebasdepage"/>
          <w:rFonts w:ascii="Times New Roman" w:hAnsi="Times New Roman" w:cs="Times New Roman"/>
          <w:sz w:val="20"/>
          <w:szCs w:val="20"/>
        </w:rPr>
        <w:footnoteRef/>
      </w:r>
      <w:r w:rsidRPr="00C14253">
        <w:rPr>
          <w:rFonts w:ascii="Times New Roman" w:hAnsi="Times New Roman" w:cs="Times New Roman"/>
          <w:sz w:val="20"/>
          <w:szCs w:val="20"/>
        </w:rPr>
        <w:t xml:space="preserve"> </w:t>
      </w:r>
      <w:r w:rsidRPr="00C14253">
        <w:rPr>
          <w:rFonts w:ascii="Times New Roman" w:hAnsi="Times New Roman" w:cs="Times New Roman"/>
          <w:sz w:val="20"/>
          <w:szCs w:val="20"/>
          <w:lang w:val="nl-NL"/>
        </w:rPr>
        <w:t xml:space="preserve">Ibid, § 6.25 à 6.28; ”Pratique du GATT/de l’OMC”, p. 17; </w:t>
      </w:r>
      <w:r w:rsidRPr="00C14253">
        <w:rPr>
          <w:rFonts w:ascii="Times New Roman" w:hAnsi="Times New Roman" w:cs="Times New Roman"/>
          <w:smallCaps/>
          <w:sz w:val="20"/>
          <w:szCs w:val="20"/>
        </w:rPr>
        <w:t xml:space="preserve">Canal-Forgues, E., Flory, </w:t>
      </w:r>
      <w:r w:rsidRPr="00C14253">
        <w:rPr>
          <w:rFonts w:ascii="Times New Roman" w:hAnsi="Times New Roman" w:cs="Times New Roman"/>
          <w:i/>
          <w:iCs/>
          <w:sz w:val="20"/>
          <w:szCs w:val="20"/>
        </w:rPr>
        <w:t>op. cit.</w:t>
      </w:r>
      <w:r w:rsidRPr="00C14253">
        <w:rPr>
          <w:rFonts w:ascii="Times New Roman" w:hAnsi="Times New Roman" w:cs="Times New Roman"/>
          <w:iCs/>
          <w:sz w:val="20"/>
          <w:szCs w:val="20"/>
        </w:rPr>
        <w:t>,</w:t>
      </w:r>
      <w:r w:rsidRPr="00C14253">
        <w:rPr>
          <w:rFonts w:ascii="Times New Roman" w:hAnsi="Times New Roman" w:cs="Times New Roman"/>
          <w:sz w:val="20"/>
          <w:szCs w:val="20"/>
          <w:lang w:val="nl-NL"/>
        </w:rPr>
        <w:t xml:space="preserve"> p. 550.</w:t>
      </w:r>
    </w:p>
  </w:footnote>
  <w:footnote w:id="355">
    <w:p w14:paraId="75D5E37D" w14:textId="77777777" w:rsidR="00C14253" w:rsidRPr="00C14253" w:rsidRDefault="00C14253" w:rsidP="00C14253">
      <w:pPr>
        <w:pStyle w:val="Notedebasdepage"/>
        <w:rPr>
          <w:rFonts w:ascii="Times New Roman" w:hAnsi="Times New Roman" w:cs="Times New Roman"/>
          <w:sz w:val="20"/>
          <w:szCs w:val="20"/>
          <w:lang w:val="nl-NL"/>
        </w:rPr>
      </w:pPr>
      <w:r w:rsidRPr="00C14253">
        <w:rPr>
          <w:rStyle w:val="Marquenotebasdepage"/>
          <w:rFonts w:ascii="Times New Roman" w:hAnsi="Times New Roman" w:cs="Times New Roman"/>
          <w:sz w:val="20"/>
          <w:szCs w:val="20"/>
        </w:rPr>
        <w:footnoteRef/>
      </w:r>
      <w:r w:rsidRPr="00C14253">
        <w:rPr>
          <w:rFonts w:ascii="Times New Roman" w:hAnsi="Times New Roman" w:cs="Times New Roman"/>
          <w:sz w:val="20"/>
          <w:szCs w:val="20"/>
        </w:rPr>
        <w:t xml:space="preserve"> </w:t>
      </w:r>
      <w:r w:rsidRPr="00C14253">
        <w:rPr>
          <w:rFonts w:ascii="Times New Roman" w:hAnsi="Times New Roman" w:cs="Times New Roman"/>
          <w:sz w:val="20"/>
          <w:szCs w:val="20"/>
          <w:lang w:val="nl-NL"/>
        </w:rPr>
        <w:t>Rapport du Groupe spécial, § 8.222.</w:t>
      </w:r>
    </w:p>
  </w:footnote>
  <w:footnote w:id="356">
    <w:p w14:paraId="2985322A" w14:textId="77777777" w:rsidR="00C14253" w:rsidRPr="00C14253" w:rsidRDefault="00C14253" w:rsidP="00C14253">
      <w:pPr>
        <w:pStyle w:val="Notedebasdepage"/>
        <w:rPr>
          <w:rFonts w:ascii="Times New Roman" w:hAnsi="Times New Roman" w:cs="Times New Roman"/>
          <w:sz w:val="20"/>
          <w:szCs w:val="20"/>
          <w:lang w:val="nl-NL"/>
        </w:rPr>
      </w:pPr>
      <w:r w:rsidRPr="00C14253">
        <w:rPr>
          <w:rStyle w:val="Marquenotebasdepage"/>
          <w:rFonts w:ascii="Times New Roman" w:hAnsi="Times New Roman" w:cs="Times New Roman"/>
          <w:sz w:val="20"/>
          <w:szCs w:val="20"/>
        </w:rPr>
        <w:footnoteRef/>
      </w:r>
      <w:r w:rsidRPr="00C14253">
        <w:rPr>
          <w:rFonts w:ascii="Times New Roman" w:hAnsi="Times New Roman" w:cs="Times New Roman"/>
          <w:sz w:val="20"/>
          <w:szCs w:val="20"/>
        </w:rPr>
        <w:t xml:space="preserve"> </w:t>
      </w:r>
      <w:r w:rsidRPr="00C14253">
        <w:rPr>
          <w:rFonts w:ascii="Times New Roman" w:hAnsi="Times New Roman" w:cs="Times New Roman"/>
          <w:i/>
          <w:sz w:val="20"/>
          <w:szCs w:val="20"/>
          <w:lang w:val="nl-NL"/>
        </w:rPr>
        <w:t>Amiante</w:t>
      </w:r>
      <w:r w:rsidRPr="00C14253">
        <w:rPr>
          <w:rFonts w:ascii="Times New Roman" w:hAnsi="Times New Roman" w:cs="Times New Roman"/>
          <w:sz w:val="20"/>
          <w:szCs w:val="20"/>
          <w:lang w:val="nl-NL"/>
        </w:rPr>
        <w:t>, rapport du Groupe spécial, § 8.172.</w:t>
      </w:r>
    </w:p>
  </w:footnote>
  <w:footnote w:id="357">
    <w:p w14:paraId="75E2438E" w14:textId="7BDB943C" w:rsidR="00C14253" w:rsidRPr="00C14253" w:rsidRDefault="00C14253" w:rsidP="00C14253">
      <w:pPr>
        <w:pStyle w:val="Notedebasdepage"/>
        <w:rPr>
          <w:rFonts w:ascii="Times New Roman" w:hAnsi="Times New Roman" w:cs="Times New Roman"/>
          <w:sz w:val="20"/>
          <w:szCs w:val="20"/>
          <w:lang w:val="nl-NL"/>
        </w:rPr>
      </w:pPr>
      <w:r w:rsidRPr="00C14253">
        <w:rPr>
          <w:rStyle w:val="Marquenotebasdepage"/>
          <w:rFonts w:ascii="Times New Roman" w:hAnsi="Times New Roman" w:cs="Times New Roman"/>
          <w:sz w:val="20"/>
          <w:szCs w:val="20"/>
        </w:rPr>
        <w:footnoteRef/>
      </w:r>
      <w:r w:rsidRPr="00C14253">
        <w:rPr>
          <w:rFonts w:ascii="Times New Roman" w:hAnsi="Times New Roman" w:cs="Times New Roman"/>
          <w:i/>
          <w:sz w:val="20"/>
          <w:szCs w:val="20"/>
        </w:rPr>
        <w:t xml:space="preserve"> Ibid</w:t>
      </w:r>
      <w:r w:rsidRPr="00C14253">
        <w:rPr>
          <w:rFonts w:ascii="Times New Roman" w:hAnsi="Times New Roman" w:cs="Times New Roman"/>
          <w:sz w:val="20"/>
          <w:szCs w:val="20"/>
          <w:lang w:val="nl-NL"/>
        </w:rPr>
        <w:t xml:space="preserve">, § 8.172. </w:t>
      </w:r>
    </w:p>
  </w:footnote>
  <w:footnote w:id="358">
    <w:p w14:paraId="08B279E7" w14:textId="487EEC25" w:rsidR="00C14253" w:rsidRPr="00C14253" w:rsidRDefault="00C14253">
      <w:pPr>
        <w:pStyle w:val="Notedebasdepage"/>
        <w:rPr>
          <w:rFonts w:ascii="Times New Roman" w:hAnsi="Times New Roman" w:cs="Times New Roman"/>
          <w:sz w:val="20"/>
          <w:szCs w:val="20"/>
          <w:lang w:val="nl-NL"/>
        </w:rPr>
      </w:pPr>
      <w:r w:rsidRPr="00C14253">
        <w:rPr>
          <w:rStyle w:val="Marquenotebasdepage"/>
          <w:rFonts w:ascii="Times New Roman" w:hAnsi="Times New Roman" w:cs="Times New Roman"/>
          <w:sz w:val="20"/>
          <w:szCs w:val="20"/>
        </w:rPr>
        <w:footnoteRef/>
      </w:r>
      <w:r w:rsidRPr="00C14253">
        <w:rPr>
          <w:rFonts w:ascii="Times New Roman" w:hAnsi="Times New Roman" w:cs="Times New Roman"/>
          <w:sz w:val="20"/>
          <w:szCs w:val="20"/>
        </w:rPr>
        <w:t xml:space="preserve"> </w:t>
      </w:r>
      <w:r w:rsidRPr="00C14253">
        <w:rPr>
          <w:rFonts w:ascii="Times New Roman" w:hAnsi="Times New Roman" w:cs="Times New Roman"/>
          <w:i/>
          <w:sz w:val="20"/>
          <w:szCs w:val="20"/>
        </w:rPr>
        <w:t xml:space="preserve">Ibid., </w:t>
      </w:r>
      <w:r w:rsidRPr="00C14253">
        <w:rPr>
          <w:rFonts w:ascii="Times New Roman" w:hAnsi="Times New Roman" w:cs="Times New Roman"/>
          <w:sz w:val="20"/>
          <w:szCs w:val="20"/>
        </w:rPr>
        <w:t>rapport du Groupe spécial</w:t>
      </w:r>
      <w:r w:rsidRPr="00C14253">
        <w:rPr>
          <w:rFonts w:ascii="Times New Roman" w:hAnsi="Times New Roman" w:cs="Times New Roman"/>
          <w:i/>
          <w:sz w:val="20"/>
          <w:szCs w:val="20"/>
        </w:rPr>
        <w:t xml:space="preserve">, </w:t>
      </w:r>
      <w:r w:rsidRPr="00C14253">
        <w:rPr>
          <w:rFonts w:ascii="Times New Roman" w:hAnsi="Times New Roman" w:cs="Times New Roman"/>
          <w:sz w:val="20"/>
          <w:szCs w:val="20"/>
        </w:rPr>
        <w:t>§ 8.178.</w:t>
      </w:r>
    </w:p>
  </w:footnote>
  <w:footnote w:id="359">
    <w:p w14:paraId="699E2783" w14:textId="01C4D38D" w:rsidR="00C14253" w:rsidRPr="00570190" w:rsidRDefault="00C14253" w:rsidP="0047126E">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mallCaps/>
          <w:sz w:val="20"/>
          <w:szCs w:val="20"/>
        </w:rPr>
        <w:t xml:space="preserve">  </w:t>
      </w:r>
      <w:r w:rsidRPr="005354AF">
        <w:rPr>
          <w:rFonts w:ascii="Times New Roman" w:hAnsi="Times New Roman" w:cs="Times New Roman"/>
          <w:i/>
          <w:sz w:val="20"/>
          <w:szCs w:val="20"/>
        </w:rPr>
        <w:t>Guide des règles et pratiques du GATT, Index analytique</w:t>
      </w:r>
      <w:r w:rsidRPr="005354AF">
        <w:rPr>
          <w:rFonts w:ascii="Times New Roman" w:hAnsi="Times New Roman" w:cs="Times New Roman"/>
          <w:sz w:val="20"/>
          <w:szCs w:val="20"/>
          <w:lang w:val="nl-NL"/>
        </w:rPr>
        <w:t xml:space="preserve">, </w:t>
      </w:r>
      <w:r w:rsidRPr="005354AF">
        <w:rPr>
          <w:rFonts w:ascii="Times New Roman" w:hAnsi="Times New Roman" w:cs="Times New Roman"/>
          <w:i/>
          <w:sz w:val="20"/>
          <w:szCs w:val="20"/>
          <w:lang w:val="nl-NL"/>
        </w:rPr>
        <w:t xml:space="preserve">op. cit., </w:t>
      </w:r>
      <w:r w:rsidRPr="005354AF">
        <w:rPr>
          <w:rFonts w:ascii="Times New Roman" w:hAnsi="Times New Roman" w:cs="Times New Roman"/>
          <w:sz w:val="20"/>
          <w:szCs w:val="20"/>
          <w:lang w:val="nl-NL"/>
        </w:rPr>
        <w:t xml:space="preserve">p. 615; ”Pratique du GATT/de l’OMC”, </w:t>
      </w:r>
      <w:r w:rsidRPr="005354AF">
        <w:rPr>
          <w:rFonts w:ascii="Times New Roman" w:hAnsi="Times New Roman" w:cs="Times New Roman"/>
          <w:i/>
          <w:sz w:val="20"/>
          <w:szCs w:val="20"/>
          <w:lang w:val="nl-NL"/>
        </w:rPr>
        <w:t>op. cit.,</w:t>
      </w:r>
      <w:r w:rsidRPr="005354AF">
        <w:rPr>
          <w:rFonts w:ascii="Times New Roman" w:hAnsi="Times New Roman" w:cs="Times New Roman"/>
          <w:sz w:val="20"/>
          <w:szCs w:val="20"/>
          <w:lang w:val="nl-NL"/>
        </w:rPr>
        <w:t xml:space="preserve"> p. 17. ; </w:t>
      </w:r>
      <w:r w:rsidRPr="005354AF">
        <w:rPr>
          <w:rFonts w:ascii="Times New Roman" w:hAnsi="Times New Roman" w:cs="Times New Roman"/>
          <w:sz w:val="20"/>
          <w:szCs w:val="20"/>
        </w:rPr>
        <w:t xml:space="preserve">M. </w:t>
      </w:r>
      <w:r w:rsidRPr="005354AF">
        <w:rPr>
          <w:rFonts w:ascii="Times New Roman" w:hAnsi="Times New Roman" w:cs="Times New Roman"/>
          <w:smallCaps/>
          <w:sz w:val="20"/>
          <w:szCs w:val="20"/>
          <w:lang w:val="nl-NL"/>
        </w:rPr>
        <w:t>Prost</w:t>
      </w:r>
      <w:r w:rsidRPr="005354AF">
        <w:rPr>
          <w:rFonts w:ascii="Times New Roman" w:hAnsi="Times New Roman" w:cs="Times New Roman"/>
          <w:sz w:val="20"/>
          <w:szCs w:val="20"/>
          <w:lang w:val="nl-NL"/>
        </w:rPr>
        <w:t xml:space="preserve">, </w:t>
      </w:r>
      <w:r w:rsidRPr="005354AF">
        <w:rPr>
          <w:rFonts w:ascii="Times New Roman" w:hAnsi="Times New Roman" w:cs="Times New Roman"/>
          <w:i/>
          <w:sz w:val="20"/>
          <w:szCs w:val="20"/>
          <w:lang w:val="nl-NL"/>
        </w:rPr>
        <w:t>op. cit.,</w:t>
      </w:r>
      <w:r w:rsidRPr="005354AF">
        <w:rPr>
          <w:rFonts w:ascii="Times New Roman" w:hAnsi="Times New Roman" w:cs="Times New Roman"/>
          <w:sz w:val="20"/>
          <w:szCs w:val="20"/>
          <w:lang w:val="nl-NL"/>
        </w:rPr>
        <w:t>. 83.</w:t>
      </w:r>
    </w:p>
  </w:footnote>
  <w:footnote w:id="360">
    <w:p w14:paraId="735EB51D" w14:textId="3BA5BF84" w:rsidR="00C14253" w:rsidRPr="00570190" w:rsidRDefault="00C14253" w:rsidP="0047126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Guide des règles et pratiques du GATT, Index analytique</w:t>
      </w:r>
      <w:r w:rsidRPr="00570190">
        <w:rPr>
          <w:rFonts w:ascii="Times New Roman" w:hAnsi="Times New Roman" w:cs="Times New Roman"/>
          <w:smallCaps/>
          <w:sz w:val="20"/>
          <w:szCs w:val="20"/>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xml:space="preserve"> p. 616.</w:t>
      </w:r>
    </w:p>
  </w:footnote>
  <w:footnote w:id="361">
    <w:p w14:paraId="1357024A" w14:textId="48722029" w:rsidR="00C14253" w:rsidRPr="005354AF" w:rsidRDefault="00C14253" w:rsidP="0047126E">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z w:val="20"/>
          <w:szCs w:val="20"/>
        </w:rPr>
        <w:t xml:space="preserve"> </w:t>
      </w:r>
      <w:r w:rsidRPr="005354AF">
        <w:rPr>
          <w:rFonts w:ascii="Times New Roman" w:hAnsi="Times New Roman" w:cs="Times New Roman"/>
          <w:i/>
          <w:sz w:val="20"/>
          <w:szCs w:val="20"/>
          <w:lang w:val="nl-NL"/>
        </w:rPr>
        <w:t xml:space="preserve">Ibid., </w:t>
      </w:r>
      <w:r w:rsidRPr="005354AF">
        <w:rPr>
          <w:rFonts w:ascii="Times New Roman" w:hAnsi="Times New Roman" w:cs="Times New Roman"/>
          <w:sz w:val="20"/>
          <w:szCs w:val="20"/>
          <w:lang w:val="nl-NL"/>
        </w:rPr>
        <w:t>p. 616.</w:t>
      </w:r>
    </w:p>
  </w:footnote>
  <w:footnote w:id="362">
    <w:p w14:paraId="0BFF81F7" w14:textId="59889D2A" w:rsidR="00C14253" w:rsidRPr="005354AF" w:rsidRDefault="00C14253" w:rsidP="0047126E">
      <w:pPr>
        <w:pStyle w:val="Notedebasdepage"/>
        <w:jc w:val="both"/>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i/>
          <w:sz w:val="20"/>
          <w:szCs w:val="20"/>
          <w:lang w:val="nl-NL"/>
        </w:rPr>
        <w:t xml:space="preserve"> Ibid.</w:t>
      </w:r>
      <w:r w:rsidRPr="005354AF">
        <w:rPr>
          <w:rFonts w:ascii="Times New Roman" w:hAnsi="Times New Roman" w:cs="Times New Roman"/>
          <w:sz w:val="20"/>
          <w:szCs w:val="20"/>
          <w:lang w:val="nl-NL"/>
        </w:rPr>
        <w:t xml:space="preserve"> p. 616.</w:t>
      </w:r>
      <w:r w:rsidRPr="005354AF">
        <w:rPr>
          <w:rFonts w:ascii="Times New Roman" w:hAnsi="Times New Roman" w:cs="Times New Roman"/>
          <w:sz w:val="20"/>
          <w:szCs w:val="20"/>
        </w:rPr>
        <w:t>Dans le projet de la Charte de l’OIC, le chapeau avait été revisité et libellé comme il l’est actuellement, le texte de l’alinéa b) stipulait que les mesures « destinées à protéger la vie et la santé des personnes et des animaux ou à préserver les végétaux, si des mesures de protection correspondantes existent dans le pays importateur dans les mêmes conditions ». « Cette adjonction montre que l’on pensait au risque d’utilisation abusive des règlements sanitaires par les pays importateurs. Par la suite, la Commission A de la deuxième session de la Commission préparatoire à Genève a décidé que cette disposition était inutile et l’a supprimée.</w:t>
      </w:r>
    </w:p>
  </w:footnote>
  <w:footnote w:id="363">
    <w:p w14:paraId="6429933B" w14:textId="50FFAD00" w:rsidR="00C14253" w:rsidRPr="005354AF" w:rsidRDefault="00C14253" w:rsidP="0047126E">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z w:val="20"/>
          <w:szCs w:val="20"/>
        </w:rPr>
        <w:t xml:space="preserve"> </w:t>
      </w:r>
      <w:r w:rsidRPr="005354AF">
        <w:rPr>
          <w:rFonts w:ascii="Times New Roman" w:hAnsi="Times New Roman" w:cs="Times New Roman"/>
          <w:i/>
          <w:sz w:val="20"/>
          <w:szCs w:val="20"/>
          <w:lang w:val="nl-NL"/>
        </w:rPr>
        <w:t>Thon I</w:t>
      </w:r>
      <w:r w:rsidRPr="005354AF">
        <w:rPr>
          <w:rFonts w:ascii="Times New Roman" w:hAnsi="Times New Roman" w:cs="Times New Roman"/>
          <w:sz w:val="20"/>
          <w:szCs w:val="20"/>
          <w:lang w:val="nl-NL"/>
        </w:rPr>
        <w:t>, rapport du Groupe spécial, §§ 5.25 et 5.26 ;</w:t>
      </w:r>
      <w:r w:rsidRPr="005354AF">
        <w:rPr>
          <w:rFonts w:ascii="Times New Roman" w:hAnsi="Times New Roman" w:cs="Times New Roman"/>
          <w:i/>
          <w:sz w:val="20"/>
          <w:szCs w:val="20"/>
        </w:rPr>
        <w:t xml:space="preserve"> Guide des règles et pratiques du GATT, Index analytique</w:t>
      </w:r>
      <w:r w:rsidRPr="005354AF">
        <w:rPr>
          <w:rFonts w:ascii="Times New Roman" w:hAnsi="Times New Roman" w:cs="Times New Roman"/>
          <w:sz w:val="20"/>
          <w:szCs w:val="20"/>
          <w:lang w:val="nl-NL"/>
        </w:rPr>
        <w:t xml:space="preserve">, </w:t>
      </w:r>
      <w:r w:rsidRPr="005354AF">
        <w:rPr>
          <w:rFonts w:ascii="Times New Roman" w:hAnsi="Times New Roman" w:cs="Times New Roman"/>
          <w:i/>
          <w:sz w:val="20"/>
          <w:szCs w:val="20"/>
          <w:lang w:val="nl-NL"/>
        </w:rPr>
        <w:t>op. cit.,</w:t>
      </w:r>
      <w:r w:rsidRPr="005354AF">
        <w:rPr>
          <w:rFonts w:ascii="Times New Roman" w:hAnsi="Times New Roman" w:cs="Times New Roman"/>
          <w:sz w:val="20"/>
          <w:szCs w:val="20"/>
          <w:lang w:val="nl-NL"/>
        </w:rPr>
        <w:t xml:space="preserve">p. 616. ; S. </w:t>
      </w:r>
      <w:r w:rsidRPr="005354AF">
        <w:rPr>
          <w:rFonts w:ascii="Times New Roman" w:hAnsi="Times New Roman" w:cs="Times New Roman"/>
          <w:smallCaps/>
          <w:sz w:val="20"/>
          <w:szCs w:val="20"/>
        </w:rPr>
        <w:t xml:space="preserve">Zlepting, </w:t>
      </w:r>
      <w:r w:rsidRPr="005354AF">
        <w:rPr>
          <w:rFonts w:ascii="Times New Roman" w:hAnsi="Times New Roman" w:cs="Times New Roman"/>
          <w:i/>
          <w:sz w:val="20"/>
          <w:szCs w:val="20"/>
          <w:lang w:val="nl-NL"/>
        </w:rPr>
        <w:t>op. cit.</w:t>
      </w:r>
      <w:r w:rsidRPr="005354AF">
        <w:rPr>
          <w:rFonts w:ascii="Times New Roman" w:hAnsi="Times New Roman" w:cs="Times New Roman"/>
          <w:sz w:val="20"/>
          <w:szCs w:val="20"/>
          <w:lang w:val="nl-NL"/>
        </w:rPr>
        <w:t>, p. 311.</w:t>
      </w:r>
    </w:p>
  </w:footnote>
  <w:footnote w:id="364">
    <w:p w14:paraId="2A02289C" w14:textId="3F0AE3AB" w:rsidR="00C14253" w:rsidRPr="005354AF" w:rsidRDefault="00C14253" w:rsidP="0047126E">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z w:val="20"/>
          <w:szCs w:val="20"/>
        </w:rPr>
        <w:t xml:space="preserve"> </w:t>
      </w:r>
      <w:r w:rsidRPr="005354AF">
        <w:rPr>
          <w:rFonts w:ascii="Times New Roman" w:hAnsi="Times New Roman" w:cs="Times New Roman"/>
          <w:i/>
          <w:sz w:val="20"/>
          <w:szCs w:val="20"/>
        </w:rPr>
        <w:t>Thon II</w:t>
      </w:r>
      <w:r w:rsidRPr="005354AF">
        <w:rPr>
          <w:rFonts w:ascii="Times New Roman" w:hAnsi="Times New Roman" w:cs="Times New Roman"/>
          <w:sz w:val="20"/>
          <w:szCs w:val="20"/>
        </w:rPr>
        <w:t>, rapport du Groupe spécial, § 5.31.</w:t>
      </w:r>
    </w:p>
  </w:footnote>
  <w:footnote w:id="365">
    <w:p w14:paraId="2FDCAAE9" w14:textId="4CB1FA4E" w:rsidR="00C14253" w:rsidRPr="005354AF" w:rsidRDefault="00C14253" w:rsidP="0047126E">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z w:val="20"/>
          <w:szCs w:val="20"/>
        </w:rPr>
        <w:t xml:space="preserve"> </w:t>
      </w:r>
      <w:r w:rsidRPr="005354AF">
        <w:rPr>
          <w:rFonts w:ascii="Times New Roman" w:hAnsi="Times New Roman" w:cs="Times New Roman"/>
          <w:sz w:val="20"/>
          <w:szCs w:val="20"/>
          <w:lang w:val="nl-NL"/>
        </w:rPr>
        <w:t>”Pratique du GATT/de l’OMC”, p. 18.</w:t>
      </w:r>
    </w:p>
  </w:footnote>
  <w:footnote w:id="366">
    <w:p w14:paraId="793D5DD8" w14:textId="45C4F0EF" w:rsidR="00C14253" w:rsidRPr="00570190" w:rsidRDefault="00C14253">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z w:val="20"/>
          <w:szCs w:val="20"/>
        </w:rPr>
        <w:t xml:space="preserve"> S. </w:t>
      </w:r>
      <w:r w:rsidRPr="005354AF">
        <w:rPr>
          <w:rFonts w:ascii="Times New Roman" w:hAnsi="Times New Roman" w:cs="Times New Roman"/>
          <w:smallCaps/>
          <w:sz w:val="20"/>
          <w:szCs w:val="20"/>
        </w:rPr>
        <w:t xml:space="preserve">Zlepting, </w:t>
      </w:r>
      <w:r w:rsidRPr="005354AF">
        <w:rPr>
          <w:rFonts w:ascii="Times New Roman" w:hAnsi="Times New Roman" w:cs="Times New Roman"/>
          <w:i/>
          <w:sz w:val="20"/>
          <w:szCs w:val="20"/>
          <w:lang w:val="nl-NL"/>
        </w:rPr>
        <w:t>op. cit.</w:t>
      </w:r>
      <w:r w:rsidRPr="005354AF">
        <w:rPr>
          <w:rFonts w:ascii="Times New Roman" w:hAnsi="Times New Roman" w:cs="Times New Roman"/>
          <w:sz w:val="20"/>
          <w:szCs w:val="20"/>
          <w:lang w:val="nl-NL"/>
        </w:rPr>
        <w:t>, p. 311; ”Pratique du GATT/de l’OMC</w:t>
      </w:r>
      <w:r w:rsidRPr="00570190">
        <w:rPr>
          <w:rFonts w:ascii="Times New Roman" w:hAnsi="Times New Roman" w:cs="Times New Roman"/>
          <w:sz w:val="20"/>
          <w:szCs w:val="20"/>
          <w:lang w:val="nl-NL"/>
        </w:rPr>
        <w:t>”, p. 18.</w:t>
      </w:r>
    </w:p>
  </w:footnote>
  <w:footnote w:id="367">
    <w:p w14:paraId="3F957600" w14:textId="62DC4E50" w:rsidR="00C14253" w:rsidRPr="00570190" w:rsidRDefault="00C14253" w:rsidP="006612F2">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Thon II</w:t>
      </w:r>
      <w:r w:rsidRPr="00570190">
        <w:rPr>
          <w:rFonts w:ascii="Times New Roman" w:hAnsi="Times New Roman" w:cs="Times New Roman"/>
          <w:sz w:val="20"/>
          <w:szCs w:val="20"/>
          <w:lang w:val="nl-NL"/>
        </w:rPr>
        <w:t>, rapport du Groupe spécial, § 5.31 à 5.33.</w:t>
      </w:r>
    </w:p>
  </w:footnote>
  <w:footnote w:id="368">
    <w:p w14:paraId="0E21DB10" w14:textId="78BDFCF8" w:rsidR="00C14253" w:rsidRPr="00570190" w:rsidRDefault="00C14253" w:rsidP="006612F2">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Cigarettes</w:t>
      </w:r>
      <w:r w:rsidRPr="00570190">
        <w:rPr>
          <w:rFonts w:ascii="Times New Roman" w:hAnsi="Times New Roman" w:cs="Times New Roman"/>
          <w:sz w:val="20"/>
          <w:szCs w:val="20"/>
          <w:lang w:val="nl-NL"/>
        </w:rPr>
        <w:t>, rapport du Groupe spécial, §§ 73 et 74.; ”Pratique du GATT/de l’OMC”, p. 18.</w:t>
      </w:r>
    </w:p>
  </w:footnote>
  <w:footnote w:id="369">
    <w:p w14:paraId="43DDB926" w14:textId="43A3D2D1" w:rsidR="00C14253" w:rsidRPr="00570190" w:rsidRDefault="00C14253" w:rsidP="006612F2">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Guide des règles et pratiques du GATT, Index analytique</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,p. 616.</w:t>
      </w:r>
    </w:p>
  </w:footnote>
  <w:footnote w:id="370">
    <w:p w14:paraId="2F7ABA60" w14:textId="17695359" w:rsidR="00C14253" w:rsidRPr="00570190" w:rsidRDefault="00C14253" w:rsidP="006612F2">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lang w:val="nl-NL"/>
        </w:rPr>
        <w:t xml:space="preserve"> Ibid.</w:t>
      </w:r>
      <w:r w:rsidRPr="00570190">
        <w:rPr>
          <w:rFonts w:ascii="Times New Roman" w:hAnsi="Times New Roman" w:cs="Times New Roman"/>
          <w:sz w:val="20"/>
          <w:szCs w:val="20"/>
          <w:lang w:val="nl-NL"/>
        </w:rPr>
        <w:t xml:space="preserve">,p. 616; </w:t>
      </w:r>
      <w:r w:rsidRPr="00570190">
        <w:rPr>
          <w:rFonts w:ascii="Times New Roman" w:hAnsi="Times New Roman" w:cs="Times New Roman"/>
          <w:i/>
          <w:sz w:val="20"/>
          <w:szCs w:val="20"/>
          <w:lang w:val="nl-NL"/>
        </w:rPr>
        <w:t>Thon II</w:t>
      </w:r>
      <w:r w:rsidRPr="00570190">
        <w:rPr>
          <w:rFonts w:ascii="Times New Roman" w:hAnsi="Times New Roman" w:cs="Times New Roman"/>
          <w:sz w:val="20"/>
          <w:szCs w:val="20"/>
          <w:lang w:val="nl-NL"/>
        </w:rPr>
        <w:t>, rapport du Groupe spécial, § 5.32.</w:t>
      </w:r>
    </w:p>
  </w:footnote>
  <w:footnote w:id="371">
    <w:p w14:paraId="2C14B375" w14:textId="03A1A954" w:rsidR="00C14253" w:rsidRPr="00570190" w:rsidRDefault="00C14253" w:rsidP="006612F2">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”Pratique du GATT/de l’OMC”, p. 18.</w:t>
      </w:r>
    </w:p>
  </w:footnote>
  <w:footnote w:id="372">
    <w:p w14:paraId="31356260" w14:textId="291DDF10" w:rsidR="00C14253" w:rsidRPr="00570190" w:rsidRDefault="00C14253" w:rsidP="005A5AC9">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xml:space="preserve">, p. 18. ; M. </w:t>
      </w:r>
      <w:r w:rsidRPr="00570190">
        <w:rPr>
          <w:rFonts w:ascii="Times New Roman" w:hAnsi="Times New Roman" w:cs="Times New Roman"/>
          <w:smallCaps/>
          <w:sz w:val="20"/>
          <w:szCs w:val="20"/>
          <w:lang w:val="nl-NL"/>
        </w:rPr>
        <w:t>Prost</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 xml:space="preserve">op. cit., </w:t>
      </w:r>
      <w:r w:rsidRPr="00570190">
        <w:rPr>
          <w:rFonts w:ascii="Times New Roman" w:hAnsi="Times New Roman" w:cs="Times New Roman"/>
          <w:sz w:val="20"/>
          <w:szCs w:val="20"/>
          <w:lang w:val="nl-NL"/>
        </w:rPr>
        <w:t xml:space="preserve">p. 86; S. </w:t>
      </w:r>
      <w:r w:rsidRPr="00570190">
        <w:rPr>
          <w:rFonts w:ascii="Times New Roman" w:hAnsi="Times New Roman" w:cs="Times New Roman"/>
          <w:smallCaps/>
          <w:sz w:val="20"/>
          <w:szCs w:val="20"/>
        </w:rPr>
        <w:t xml:space="preserve">Zlepting,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p. 311.</w:t>
      </w:r>
    </w:p>
  </w:footnote>
  <w:footnote w:id="373">
    <w:p w14:paraId="680BD2AA" w14:textId="2486E9A8" w:rsidR="00C14253" w:rsidRPr="00570190" w:rsidRDefault="00C14253" w:rsidP="005A5AC9">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Thon II</w:t>
      </w:r>
      <w:r w:rsidRPr="00570190">
        <w:rPr>
          <w:rFonts w:ascii="Times New Roman" w:hAnsi="Times New Roman" w:cs="Times New Roman"/>
          <w:sz w:val="20"/>
          <w:szCs w:val="20"/>
        </w:rPr>
        <w:t>, rapport du Groupe spécial, §§ 5.38.</w:t>
      </w:r>
    </w:p>
  </w:footnote>
  <w:footnote w:id="374">
    <w:p w14:paraId="289DC323" w14:textId="5A030978" w:rsidR="00C14253" w:rsidRPr="00570190" w:rsidRDefault="00C14253" w:rsidP="005A5AC9">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”Pratique du GATT/de l’OMC”,  p. 19.; </w:t>
      </w:r>
      <w:r w:rsidRPr="00570190">
        <w:rPr>
          <w:rFonts w:ascii="Times New Roman" w:hAnsi="Times New Roman" w:cs="Times New Roman"/>
          <w:i/>
          <w:sz w:val="20"/>
          <w:szCs w:val="20"/>
          <w:lang w:val="nl-NL"/>
        </w:rPr>
        <w:t>Thon II</w:t>
      </w:r>
      <w:r w:rsidRPr="00570190">
        <w:rPr>
          <w:rFonts w:ascii="Times New Roman" w:hAnsi="Times New Roman" w:cs="Times New Roman"/>
          <w:sz w:val="20"/>
          <w:szCs w:val="20"/>
          <w:lang w:val="nl-NL"/>
        </w:rPr>
        <w:t>, rapport du Groupe spécial, §§ 5.38-5.39.</w:t>
      </w:r>
    </w:p>
  </w:footnote>
  <w:footnote w:id="375">
    <w:p w14:paraId="1B3793DA" w14:textId="43F4ACC6" w:rsidR="00C14253" w:rsidRPr="00570190" w:rsidRDefault="00C14253" w:rsidP="00D54534">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B. </w:t>
      </w:r>
      <w:r w:rsidRPr="00570190">
        <w:rPr>
          <w:rFonts w:ascii="Times New Roman" w:hAnsi="Times New Roman" w:cs="Times New Roman"/>
          <w:smallCaps/>
          <w:sz w:val="20"/>
          <w:szCs w:val="20"/>
        </w:rPr>
        <w:t>Stern, H. Ruiz Fabri,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The Case-Law of the WTO, La jurisprudence de l’OMC, 1996-1997</w:t>
      </w:r>
      <w:r w:rsidRPr="00570190">
        <w:rPr>
          <w:rFonts w:ascii="Times New Roman" w:hAnsi="Times New Roman" w:cs="Times New Roman"/>
          <w:sz w:val="20"/>
          <w:szCs w:val="20"/>
        </w:rPr>
        <w:t>, p. 98 ;</w:t>
      </w:r>
      <w:r w:rsidRPr="00570190">
        <w:rPr>
          <w:rFonts w:ascii="Times New Roman" w:hAnsi="Times New Roman" w:cs="Times New Roman"/>
          <w:sz w:val="20"/>
          <w:szCs w:val="20"/>
          <w:lang w:val="nl-NL"/>
        </w:rPr>
        <w:t xml:space="preserve"> S. </w:t>
      </w:r>
      <w:r w:rsidRPr="00570190">
        <w:rPr>
          <w:rFonts w:ascii="Times New Roman" w:hAnsi="Times New Roman" w:cs="Times New Roman"/>
          <w:smallCaps/>
          <w:sz w:val="20"/>
          <w:szCs w:val="20"/>
        </w:rPr>
        <w:t xml:space="preserve">Zlepting,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pp. 320-321.</w:t>
      </w:r>
    </w:p>
  </w:footnote>
  <w:footnote w:id="376">
    <w:p w14:paraId="4753E776" w14:textId="2997BA17" w:rsidR="00C14253" w:rsidRPr="00570190" w:rsidRDefault="00C14253" w:rsidP="005A5AC9">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Thon II</w:t>
      </w:r>
      <w:r w:rsidRPr="00570190">
        <w:rPr>
          <w:rFonts w:ascii="Times New Roman" w:hAnsi="Times New Roman" w:cs="Times New Roman"/>
          <w:sz w:val="20"/>
          <w:szCs w:val="20"/>
          <w:lang w:val="nl-NL"/>
        </w:rPr>
        <w:t>, rapport du groupe spécial, §§ 5.39; ”Pratique du GATT/de l’OMC”, p. 19.</w:t>
      </w:r>
    </w:p>
  </w:footnote>
  <w:footnote w:id="377">
    <w:p w14:paraId="0FE66D64" w14:textId="65412A46"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Thon II</w:t>
      </w:r>
      <w:r w:rsidRPr="00570190">
        <w:rPr>
          <w:rFonts w:ascii="Times New Roman" w:hAnsi="Times New Roman" w:cs="Times New Roman"/>
          <w:sz w:val="20"/>
          <w:szCs w:val="20"/>
        </w:rPr>
        <w:t>, rapport du Groupe spécial, § 5.37 à 5.39.</w:t>
      </w:r>
    </w:p>
  </w:footnote>
  <w:footnote w:id="378">
    <w:p w14:paraId="7CF46C67" w14:textId="117CAD18"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rPr>
        <w:t xml:space="preserve"> Ibid.</w:t>
      </w:r>
      <w:r w:rsidRPr="00570190">
        <w:rPr>
          <w:rFonts w:ascii="Times New Roman" w:hAnsi="Times New Roman" w:cs="Times New Roman"/>
          <w:sz w:val="20"/>
          <w:szCs w:val="20"/>
        </w:rPr>
        <w:t>, § 5.37 à 5.39.</w:t>
      </w:r>
    </w:p>
  </w:footnote>
  <w:footnote w:id="379">
    <w:p w14:paraId="4B7FECF6" w14:textId="418F248C" w:rsidR="00C14253" w:rsidRPr="00570190" w:rsidRDefault="00C14253" w:rsidP="003A3574">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Thon 1982</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rapport du Groupe spécial, § 3.8.</w:t>
      </w:r>
    </w:p>
  </w:footnote>
  <w:footnote w:id="380">
    <w:p w14:paraId="05B26EDD" w14:textId="2B79F48A" w:rsidR="00C14253" w:rsidRPr="00570190" w:rsidRDefault="00C14253" w:rsidP="003A3574">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xml:space="preserve"> § 4.9.</w:t>
      </w:r>
    </w:p>
  </w:footnote>
  <w:footnote w:id="381">
    <w:p w14:paraId="0F9624D5" w14:textId="5D6FC7C3" w:rsidR="00C14253" w:rsidRPr="00570190" w:rsidRDefault="00C14253" w:rsidP="003A3574">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Saumons/Harengs</w:t>
      </w:r>
      <w:r w:rsidRPr="00570190">
        <w:rPr>
          <w:rFonts w:ascii="Times New Roman" w:hAnsi="Times New Roman" w:cs="Times New Roman"/>
          <w:sz w:val="20"/>
          <w:szCs w:val="20"/>
          <w:lang w:val="nl-NL"/>
        </w:rPr>
        <w:t>, rapport du Groupe spécial, § 4.4; ”Pratique du GATT/de l’OMC”, p. 19.</w:t>
      </w:r>
    </w:p>
  </w:footnote>
  <w:footnote w:id="382">
    <w:p w14:paraId="3407646C" w14:textId="25FD1F23"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Guide des règles et pratiques du GATT, Index analytique</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rPr>
        <w:t>p. 631.</w:t>
      </w:r>
    </w:p>
  </w:footnote>
  <w:footnote w:id="383">
    <w:p w14:paraId="0E0FB7E1" w14:textId="7DAA1CC8" w:rsidR="00C14253" w:rsidRPr="00570190" w:rsidRDefault="00C14253" w:rsidP="003A3574">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”Pratique du GATT/de l’OMC”, p. 20.</w:t>
      </w:r>
    </w:p>
  </w:footnote>
  <w:footnote w:id="384">
    <w:p w14:paraId="4CACF5CF" w14:textId="52945E2D"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Thon II</w:t>
      </w:r>
      <w:r w:rsidRPr="00570190">
        <w:rPr>
          <w:rFonts w:ascii="Times New Roman" w:hAnsi="Times New Roman" w:cs="Times New Roman"/>
          <w:sz w:val="20"/>
          <w:szCs w:val="20"/>
          <w:lang w:val="nl-NL"/>
        </w:rPr>
        <w:t>, rapport du Groupe spécial, § 5.13.</w:t>
      </w:r>
    </w:p>
  </w:footnote>
  <w:footnote w:id="385">
    <w:p w14:paraId="0696C916" w14:textId="5B1E81C5" w:rsidR="00C14253" w:rsidRPr="00570190" w:rsidRDefault="00C14253" w:rsidP="00A862D7">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 5.13.</w:t>
      </w:r>
    </w:p>
  </w:footnote>
  <w:footnote w:id="386">
    <w:p w14:paraId="02C1DB74" w14:textId="760D6E47" w:rsidR="00C14253" w:rsidRPr="00570190" w:rsidRDefault="00C14253" w:rsidP="00885B7F">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Essence</w:t>
      </w:r>
      <w:r w:rsidRPr="00570190">
        <w:rPr>
          <w:rFonts w:ascii="Times New Roman" w:hAnsi="Times New Roman" w:cs="Times New Roman"/>
          <w:sz w:val="20"/>
          <w:szCs w:val="20"/>
          <w:lang w:val="nl-NL"/>
        </w:rPr>
        <w:t xml:space="preserve">, rapport du Groupe spécial, § 6.37; ”Pratique du GATT/de l’OMC”,  p. 20. ; B. </w:t>
      </w:r>
      <w:r w:rsidRPr="00570190">
        <w:rPr>
          <w:rFonts w:ascii="Times New Roman" w:hAnsi="Times New Roman" w:cs="Times New Roman"/>
          <w:smallCaps/>
          <w:sz w:val="20"/>
          <w:szCs w:val="20"/>
        </w:rPr>
        <w:t xml:space="preserve">Stern, H. Ruiz Fabri, </w:t>
      </w:r>
      <w:r w:rsidRPr="00570190">
        <w:rPr>
          <w:rFonts w:ascii="Times New Roman" w:hAnsi="Times New Roman" w:cs="Times New Roman"/>
          <w:i/>
          <w:sz w:val="20"/>
          <w:szCs w:val="20"/>
        </w:rPr>
        <w:t>The Case-Law of the WTO, La jurisprudence de l’OMC, 1996-1997</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rPr>
        <w:t>pp. 10 et 11.</w:t>
      </w:r>
    </w:p>
  </w:footnote>
  <w:footnote w:id="387">
    <w:p w14:paraId="53FBC37C" w14:textId="33320D9A"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Essence</w:t>
      </w:r>
      <w:r w:rsidRPr="00570190">
        <w:rPr>
          <w:rFonts w:ascii="Times New Roman" w:hAnsi="Times New Roman" w:cs="Times New Roman"/>
          <w:sz w:val="20"/>
          <w:szCs w:val="20"/>
          <w:lang w:val="nl-NL"/>
        </w:rPr>
        <w:t>, rapport du Groupe spécial, § 6.37</w:t>
      </w:r>
    </w:p>
  </w:footnote>
  <w:footnote w:id="388">
    <w:p w14:paraId="6658B4E4" w14:textId="035E25FC"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xml:space="preserve"> § 6.37.; ”Pratique du GATT/de l’OMC”, p. 20.</w:t>
      </w:r>
    </w:p>
  </w:footnote>
  <w:footnote w:id="389">
    <w:p w14:paraId="23AB0E42" w14:textId="719C5E15"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Essence</w:t>
      </w:r>
      <w:r w:rsidRPr="00570190">
        <w:rPr>
          <w:rFonts w:ascii="Times New Roman" w:hAnsi="Times New Roman" w:cs="Times New Roman"/>
          <w:sz w:val="20"/>
          <w:szCs w:val="20"/>
          <w:lang w:val="nl-NL"/>
        </w:rPr>
        <w:t>, rapport du Groupe spécial, § 6.37; ”Pratique du GATT/de l’OMC”, p. 20.</w:t>
      </w:r>
    </w:p>
  </w:footnote>
  <w:footnote w:id="390">
    <w:p w14:paraId="1ADD4A06" w14:textId="647E311C" w:rsidR="00C14253" w:rsidRPr="00570190" w:rsidRDefault="00C14253" w:rsidP="00885B7F">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Essence</w:t>
      </w:r>
      <w:r w:rsidRPr="00570190">
        <w:rPr>
          <w:rFonts w:ascii="Times New Roman" w:hAnsi="Times New Roman" w:cs="Times New Roman"/>
          <w:sz w:val="20"/>
          <w:szCs w:val="20"/>
          <w:lang w:val="nl-NL"/>
        </w:rPr>
        <w:t>, rapport du Groupe spécial, § 6.37.</w:t>
      </w:r>
    </w:p>
  </w:footnote>
  <w:footnote w:id="391">
    <w:p w14:paraId="1E97F416" w14:textId="5AC49F38"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G. Van Calster</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rPr>
        <w:t xml:space="preserve">p. 78. ; </w:t>
      </w:r>
    </w:p>
  </w:footnote>
  <w:footnote w:id="392">
    <w:p w14:paraId="20775DF8" w14:textId="197BABED" w:rsidR="00C14253" w:rsidRPr="00570190" w:rsidRDefault="00C14253" w:rsidP="001D7CB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Crevettes</w:t>
      </w:r>
      <w:r w:rsidRPr="00570190">
        <w:rPr>
          <w:rFonts w:ascii="Times New Roman" w:hAnsi="Times New Roman" w:cs="Times New Roman"/>
          <w:sz w:val="20"/>
          <w:szCs w:val="20"/>
          <w:lang w:val="nl-NL"/>
        </w:rPr>
        <w:t xml:space="preserve">, rapport de l’Organe d’appel, §§ 127 à 134 ; ”Pratique du GATT/de l’OMC”,  p. 20; B. </w:t>
      </w:r>
      <w:r w:rsidRPr="00570190">
        <w:rPr>
          <w:rFonts w:ascii="Times New Roman" w:hAnsi="Times New Roman" w:cs="Times New Roman"/>
          <w:smallCaps/>
          <w:sz w:val="20"/>
          <w:szCs w:val="20"/>
        </w:rPr>
        <w:t xml:space="preserve">Stern, H. Ruiz Fabri, </w:t>
      </w:r>
      <w:r w:rsidRPr="00570190">
        <w:rPr>
          <w:rFonts w:ascii="Times New Roman" w:hAnsi="Times New Roman" w:cs="Times New Roman"/>
          <w:i/>
          <w:sz w:val="20"/>
          <w:szCs w:val="20"/>
        </w:rPr>
        <w:t>The Case-Law of the WTO, La jurisprudence de l’OMC, 1996-1997</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156.</w:t>
      </w:r>
    </w:p>
  </w:footnote>
  <w:footnote w:id="393">
    <w:p w14:paraId="61BE2DCD" w14:textId="0F34AE25"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Crevettes</w:t>
      </w:r>
      <w:r w:rsidRPr="00570190">
        <w:rPr>
          <w:rFonts w:ascii="Times New Roman" w:hAnsi="Times New Roman" w:cs="Times New Roman"/>
          <w:sz w:val="20"/>
          <w:szCs w:val="20"/>
        </w:rPr>
        <w:t>, rapport de l’Organe d’appel, § 127.</w:t>
      </w:r>
    </w:p>
  </w:footnote>
  <w:footnote w:id="394">
    <w:p w14:paraId="512931AA" w14:textId="68EB7FC8"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 128.</w:t>
      </w:r>
    </w:p>
  </w:footnote>
  <w:footnote w:id="395">
    <w:p w14:paraId="1E5CA393" w14:textId="351C7A67" w:rsidR="00C14253" w:rsidRPr="00570190" w:rsidRDefault="00C14253" w:rsidP="001D7CB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Crevettes</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rapport de l’Organe d’appel, §§ 130-131; M. </w:t>
      </w:r>
      <w:r w:rsidRPr="00570190">
        <w:rPr>
          <w:rFonts w:ascii="Times New Roman" w:hAnsi="Times New Roman" w:cs="Times New Roman"/>
          <w:smallCaps/>
          <w:sz w:val="20"/>
          <w:szCs w:val="20"/>
          <w:lang w:val="nl-NL"/>
        </w:rPr>
        <w:t>Prost</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p. 48.</w:t>
      </w:r>
    </w:p>
  </w:footnote>
  <w:footnote w:id="396">
    <w:p w14:paraId="62FC05E2" w14:textId="0D2A41B7" w:rsidR="00C14253" w:rsidRPr="00570190" w:rsidRDefault="00C14253" w:rsidP="001D7CB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Crevettes</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rapport de l’Organe d’appel, note 109.</w:t>
      </w:r>
    </w:p>
  </w:footnote>
  <w:footnote w:id="397">
    <w:p w14:paraId="797A93E0" w14:textId="4098BE16" w:rsidR="00C14253" w:rsidRPr="00570190" w:rsidRDefault="00C14253" w:rsidP="001D7CB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”Pratique du GATT/de l’OMC”,  </w:t>
      </w:r>
      <w:r w:rsidRPr="00570190">
        <w:rPr>
          <w:rFonts w:ascii="Times New Roman" w:hAnsi="Times New Roman" w:cs="Times New Roman"/>
          <w:sz w:val="20"/>
          <w:szCs w:val="20"/>
        </w:rPr>
        <w:t>p. 21</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Crevettes</w:t>
      </w:r>
      <w:r w:rsidRPr="00570190">
        <w:rPr>
          <w:rFonts w:ascii="Times New Roman" w:hAnsi="Times New Roman" w:cs="Times New Roman"/>
          <w:sz w:val="20"/>
          <w:szCs w:val="20"/>
          <w:lang w:val="nl-NL"/>
        </w:rPr>
        <w:t>, rapport de l’Organe d’appel, § 132.</w:t>
      </w:r>
    </w:p>
  </w:footnote>
  <w:footnote w:id="398">
    <w:p w14:paraId="6E880457" w14:textId="77777777" w:rsidR="00C14253" w:rsidRPr="00570190" w:rsidRDefault="00C14253" w:rsidP="001D7CBC">
      <w:pPr>
        <w:pStyle w:val="Notedebasdepage"/>
        <w:rPr>
          <w:rFonts w:ascii="Times New Roman" w:hAnsi="Times New Roman" w:cs="Times New Roman"/>
          <w:sz w:val="20"/>
          <w:szCs w:val="20"/>
          <w:highlight w:val="lightGray"/>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highlight w:val="lightGray"/>
          <w:lang w:val="nl-NL"/>
        </w:rPr>
        <w:t>Crevettes</w:t>
      </w:r>
      <w:r w:rsidRPr="00570190">
        <w:rPr>
          <w:rFonts w:ascii="Times New Roman" w:hAnsi="Times New Roman" w:cs="Times New Roman"/>
          <w:sz w:val="20"/>
          <w:szCs w:val="20"/>
          <w:highlight w:val="lightGray"/>
          <w:lang w:val="nl-NL"/>
        </w:rPr>
        <w:t>, rapport de l’Organe d’appel, §§ 127 à 134.</w:t>
      </w:r>
    </w:p>
  </w:footnote>
  <w:footnote w:id="399">
    <w:p w14:paraId="29AC7871" w14:textId="227FB92E" w:rsidR="00C14253" w:rsidRPr="00570190" w:rsidRDefault="00C14253" w:rsidP="00563D87">
      <w:pPr>
        <w:rPr>
          <w:rFonts w:ascii="Times New Roman" w:hAnsi="Times New Roman" w:cs="Times New Roman"/>
          <w:sz w:val="20"/>
          <w:szCs w:val="20"/>
        </w:rPr>
      </w:pPr>
      <w:r w:rsidRPr="00570190">
        <w:rPr>
          <w:rStyle w:val="Marquenotebasdepage"/>
          <w:rFonts w:ascii="Times New Roman" w:hAnsi="Times New Roman" w:cs="Times New Roman"/>
          <w:sz w:val="20"/>
          <w:szCs w:val="20"/>
          <w:highlight w:val="lightGray"/>
        </w:rPr>
        <w:footnoteRef/>
      </w:r>
      <w:r w:rsidRPr="00570190">
        <w:rPr>
          <w:rFonts w:ascii="Times New Roman" w:hAnsi="Times New Roman" w:cs="Times New Roman"/>
          <w:sz w:val="20"/>
          <w:szCs w:val="20"/>
          <w:highlight w:val="lightGray"/>
        </w:rPr>
        <w:t xml:space="preserve"> </w:t>
      </w:r>
      <w:r w:rsidRPr="00570190">
        <w:rPr>
          <w:rFonts w:ascii="Times New Roman" w:hAnsi="Times New Roman" w:cs="Times New Roman"/>
          <w:i/>
          <w:sz w:val="20"/>
          <w:szCs w:val="20"/>
          <w:highlight w:val="lightGray"/>
        </w:rPr>
        <w:t>Ibid.</w:t>
      </w:r>
      <w:r w:rsidRPr="00570190">
        <w:rPr>
          <w:rFonts w:ascii="Times New Roman" w:hAnsi="Times New Roman" w:cs="Times New Roman"/>
          <w:sz w:val="20"/>
          <w:szCs w:val="20"/>
          <w:highlight w:val="lightGray"/>
        </w:rPr>
        <w:t xml:space="preserve">, §§ 127 à 134 ; </w:t>
      </w:r>
      <w:r w:rsidRPr="00570190">
        <w:rPr>
          <w:rFonts w:ascii="Times New Roman" w:hAnsi="Times New Roman" w:cs="Times New Roman"/>
          <w:sz w:val="20"/>
          <w:szCs w:val="20"/>
        </w:rPr>
        <w:t xml:space="preserve">H. </w:t>
      </w:r>
      <w:r w:rsidRPr="00570190">
        <w:rPr>
          <w:rFonts w:ascii="Times New Roman" w:hAnsi="Times New Roman" w:cs="Times New Roman"/>
          <w:smallCaps/>
          <w:sz w:val="20"/>
          <w:szCs w:val="20"/>
        </w:rPr>
        <w:t>Jackson John,</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pp. 308-309 ; P. </w:t>
      </w:r>
      <w:r w:rsidRPr="00570190">
        <w:rPr>
          <w:rFonts w:ascii="Times New Roman" w:hAnsi="Times New Roman" w:cs="Times New Roman"/>
          <w:smallCaps/>
          <w:sz w:val="20"/>
          <w:szCs w:val="20"/>
        </w:rPr>
        <w:t>Van den Bossche</w:t>
      </w:r>
      <w:r w:rsidRPr="00570190">
        <w:rPr>
          <w:rFonts w:ascii="Times New Roman" w:hAnsi="Times New Roman" w:cs="Times New Roman"/>
          <w:sz w:val="20"/>
          <w:szCs w:val="20"/>
        </w:rPr>
        <w:t xml:space="preserve">, W. </w:t>
      </w:r>
      <w:r w:rsidRPr="00570190">
        <w:rPr>
          <w:rFonts w:ascii="Times New Roman" w:hAnsi="Times New Roman" w:cs="Times New Roman"/>
          <w:smallCaps/>
          <w:sz w:val="20"/>
          <w:szCs w:val="20"/>
        </w:rPr>
        <w:t>Zdouc</w:t>
      </w:r>
      <w:r w:rsidRPr="00570190">
        <w:rPr>
          <w:rFonts w:ascii="Times New Roman" w:hAnsi="Times New Roman" w:cs="Times New Roman"/>
          <w:sz w:val="20"/>
          <w:szCs w:val="20"/>
        </w:rPr>
        <w:t xml:space="preserve">, W.,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rPr>
        <w:t>p. 566.</w:t>
      </w:r>
    </w:p>
  </w:footnote>
  <w:footnote w:id="400">
    <w:p w14:paraId="731B6321" w14:textId="4D296B87" w:rsidR="00C14253" w:rsidRPr="00570190" w:rsidRDefault="00C14253" w:rsidP="001D7CBC">
      <w:pPr>
        <w:pStyle w:val="Notedebasdepage"/>
        <w:rPr>
          <w:rFonts w:ascii="Times New Roman" w:hAnsi="Times New Roman" w:cs="Times New Roman"/>
          <w:sz w:val="20"/>
          <w:szCs w:val="20"/>
          <w:highlight w:val="lightGray"/>
          <w:lang w:val="nl-NL"/>
        </w:rPr>
      </w:pPr>
      <w:r w:rsidRPr="00570190">
        <w:rPr>
          <w:rStyle w:val="Marquenotebasdepage"/>
          <w:rFonts w:ascii="Times New Roman" w:hAnsi="Times New Roman" w:cs="Times New Roman"/>
          <w:sz w:val="20"/>
          <w:szCs w:val="20"/>
          <w:highlight w:val="lightGray"/>
        </w:rPr>
        <w:footnoteRef/>
      </w:r>
      <w:r w:rsidRPr="00570190">
        <w:rPr>
          <w:rFonts w:ascii="Times New Roman" w:hAnsi="Times New Roman" w:cs="Times New Roman"/>
          <w:sz w:val="20"/>
          <w:szCs w:val="20"/>
          <w:highlight w:val="lightGray"/>
        </w:rPr>
        <w:t xml:space="preserve"> </w:t>
      </w:r>
      <w:r w:rsidRPr="00570190">
        <w:rPr>
          <w:rFonts w:ascii="Times New Roman" w:hAnsi="Times New Roman" w:cs="Times New Roman"/>
          <w:i/>
          <w:sz w:val="20"/>
          <w:szCs w:val="20"/>
          <w:highlight w:val="lightGray"/>
        </w:rPr>
        <w:t>Ibid.</w:t>
      </w:r>
      <w:r w:rsidRPr="00570190">
        <w:rPr>
          <w:rFonts w:ascii="Times New Roman" w:hAnsi="Times New Roman" w:cs="Times New Roman"/>
          <w:sz w:val="20"/>
          <w:szCs w:val="20"/>
          <w:highlight w:val="lightGray"/>
        </w:rPr>
        <w:t>, §§ 127 à 134.</w:t>
      </w:r>
    </w:p>
  </w:footnote>
  <w:footnote w:id="401">
    <w:p w14:paraId="7CB6EDFC" w14:textId="4763C2D9" w:rsidR="00C14253" w:rsidRPr="00570190" w:rsidRDefault="00C14253" w:rsidP="001D7CB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highlight w:val="lightGray"/>
        </w:rPr>
        <w:footnoteRef/>
      </w:r>
      <w:r w:rsidRPr="00570190">
        <w:rPr>
          <w:rFonts w:ascii="Times New Roman" w:hAnsi="Times New Roman" w:cs="Times New Roman"/>
          <w:sz w:val="20"/>
          <w:szCs w:val="20"/>
          <w:highlight w:val="lightGray"/>
        </w:rPr>
        <w:t xml:space="preserve"> </w:t>
      </w:r>
      <w:r w:rsidRPr="00570190">
        <w:rPr>
          <w:rFonts w:ascii="Times New Roman" w:hAnsi="Times New Roman" w:cs="Times New Roman"/>
          <w:i/>
          <w:sz w:val="20"/>
          <w:szCs w:val="20"/>
          <w:highlight w:val="lightGray"/>
        </w:rPr>
        <w:t>Ibid.</w:t>
      </w:r>
      <w:r w:rsidRPr="00570190">
        <w:rPr>
          <w:rFonts w:ascii="Times New Roman" w:hAnsi="Times New Roman" w:cs="Times New Roman"/>
          <w:sz w:val="20"/>
          <w:szCs w:val="20"/>
          <w:highlight w:val="lightGray"/>
        </w:rPr>
        <w:t>, §§ 127 à 134.</w:t>
      </w:r>
    </w:p>
  </w:footnote>
  <w:footnote w:id="402">
    <w:p w14:paraId="4DC72A4B" w14:textId="63B3BCD4" w:rsidR="00C14253" w:rsidRPr="00570190" w:rsidRDefault="00C14253" w:rsidP="001D7CB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Etant donné que les sept espèces de tortues marines figurent dans l’Annexe I de la CITES</w:t>
      </w:r>
      <w:r w:rsidRPr="00570190">
        <w:rPr>
          <w:rFonts w:ascii="Times New Roman" w:hAnsi="Times New Roman" w:cs="Times New Roman"/>
          <w:sz w:val="20"/>
          <w:szCs w:val="20"/>
          <w:highlight w:val="red"/>
        </w:rPr>
        <w:t xml:space="preserve"> Convention sur le commerce international des espèces de faune et flore sauvages menacées d'extinction ("CITES") </w:t>
      </w:r>
      <w:r w:rsidRPr="00570190">
        <w:rPr>
          <w:rFonts w:ascii="Times New Roman" w:hAnsi="Times New Roman" w:cs="Times New Roman"/>
          <w:sz w:val="20"/>
          <w:szCs w:val="20"/>
        </w:rPr>
        <w:t xml:space="preserve">; </w:t>
      </w:r>
      <w:r w:rsidRPr="00570190">
        <w:rPr>
          <w:rFonts w:ascii="Times New Roman" w:hAnsi="Times New Roman" w:cs="Times New Roman"/>
          <w:sz w:val="20"/>
          <w:szCs w:val="20"/>
          <w:highlight w:val="red"/>
        </w:rPr>
        <w:t>les sept espèces de tortues marines reconnues figurent toutes dans l'Annexe I de la Convention sur le commerce international des espèces de faune et flore sauvages menacées d'extinction ("CITES"), l'Organe d'appel a conclu que les cinq espèces de tortues marines visées dans le différend constituent des "ressources naturelles épuisables" au sens de l'article XX g) du GATT de 1994.</w:t>
      </w:r>
      <w:r w:rsidRPr="00570190">
        <w:rPr>
          <w:rFonts w:ascii="Times New Roman" w:hAnsi="Times New Roman" w:cs="Times New Roman"/>
          <w:sz w:val="20"/>
          <w:szCs w:val="20"/>
        </w:rPr>
        <w:t xml:space="preserve"> </w:t>
      </w:r>
    </w:p>
  </w:footnote>
  <w:footnote w:id="403">
    <w:p w14:paraId="5CC52DD7" w14:textId="03B995B1"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lang w:val="nl-NL"/>
        </w:rPr>
        <w:t>Thon I</w:t>
      </w:r>
      <w:r w:rsidRPr="00570190">
        <w:rPr>
          <w:rFonts w:ascii="Times New Roman" w:hAnsi="Times New Roman" w:cs="Times New Roman"/>
          <w:sz w:val="20"/>
          <w:szCs w:val="20"/>
          <w:lang w:val="nl-NL"/>
        </w:rPr>
        <w:t>, rapport du Groupe spécial, § 5.32.</w:t>
      </w:r>
    </w:p>
  </w:footnote>
  <w:footnote w:id="404">
    <w:p w14:paraId="0D25370F" w14:textId="1489C0E4" w:rsidR="00C14253" w:rsidRPr="00570190" w:rsidRDefault="00C14253" w:rsidP="003A3574">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lang w:val="nl-NL"/>
        </w:rPr>
        <w:t xml:space="preserve"> Ibid.</w:t>
      </w:r>
      <w:r w:rsidRPr="00570190">
        <w:rPr>
          <w:rFonts w:ascii="Times New Roman" w:hAnsi="Times New Roman" w:cs="Times New Roman"/>
          <w:sz w:val="20"/>
          <w:szCs w:val="20"/>
          <w:lang w:val="nl-NL"/>
        </w:rPr>
        <w:t>, § 5.32.</w:t>
      </w:r>
    </w:p>
  </w:footnote>
  <w:footnote w:id="405">
    <w:p w14:paraId="19C59F0E" w14:textId="77777777" w:rsidR="00C14253" w:rsidRPr="00570190" w:rsidRDefault="00C14253" w:rsidP="00AD0516">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Appellate body secretariat, WTO Appellate Body Repertory of Reports and Awards, 1995-2006, Cambridge, Cambridge Press University, 3</w:t>
      </w:r>
      <w:r w:rsidRPr="00570190">
        <w:rPr>
          <w:rFonts w:ascii="Times New Roman" w:hAnsi="Times New Roman" w:cs="Times New Roman"/>
          <w:sz w:val="20"/>
          <w:szCs w:val="20"/>
          <w:vertAlign w:val="superscript"/>
        </w:rPr>
        <w:t>e</w:t>
      </w:r>
      <w:r w:rsidRPr="00570190">
        <w:rPr>
          <w:rFonts w:ascii="Times New Roman" w:hAnsi="Times New Roman" w:cs="Times New Roman"/>
          <w:sz w:val="20"/>
          <w:szCs w:val="20"/>
        </w:rPr>
        <w:t xml:space="preserve"> edition, 2007, p. 12.</w:t>
      </w:r>
    </w:p>
  </w:footnote>
  <w:footnote w:id="406">
    <w:p w14:paraId="4D738FB6" w14:textId="77777777" w:rsidR="00C14253" w:rsidRPr="00570190" w:rsidRDefault="00C14253" w:rsidP="00AD0516">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Essence</w:t>
      </w:r>
      <w:r w:rsidRPr="00570190">
        <w:rPr>
          <w:rFonts w:ascii="Times New Roman" w:hAnsi="Times New Roman" w:cs="Times New Roman"/>
          <w:sz w:val="20"/>
          <w:szCs w:val="20"/>
          <w:lang w:val="nl-NL"/>
        </w:rPr>
        <w:t xml:space="preserve">, rapport du Groupe spécial, § 6.10; </w:t>
      </w:r>
      <w:r w:rsidRPr="00570190">
        <w:rPr>
          <w:rFonts w:ascii="Times New Roman" w:hAnsi="Times New Roman" w:cs="Times New Roman"/>
          <w:sz w:val="20"/>
          <w:szCs w:val="20"/>
        </w:rPr>
        <w:t xml:space="preserve">Appellate body secretariat,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 12 ; B. </w:t>
      </w:r>
      <w:r w:rsidRPr="00570190">
        <w:rPr>
          <w:rFonts w:ascii="Times New Roman" w:hAnsi="Times New Roman" w:cs="Times New Roman"/>
          <w:smallCaps/>
          <w:sz w:val="20"/>
          <w:szCs w:val="20"/>
        </w:rPr>
        <w:t xml:space="preserve">Stern, H. Ruiz Fabri, </w:t>
      </w:r>
      <w:r w:rsidRPr="00570190">
        <w:rPr>
          <w:rFonts w:ascii="Times New Roman" w:hAnsi="Times New Roman" w:cs="Times New Roman"/>
          <w:i/>
          <w:sz w:val="20"/>
          <w:szCs w:val="20"/>
        </w:rPr>
        <w:t>The Case-Law of the WTO, La jurisprudence de l’OMC, 1996-1997</w:t>
      </w:r>
      <w:r w:rsidRPr="00570190">
        <w:rPr>
          <w:rFonts w:ascii="Times New Roman" w:hAnsi="Times New Roman" w:cs="Times New Roman"/>
          <w:sz w:val="20"/>
          <w:szCs w:val="20"/>
        </w:rPr>
        <w:t>, pp. 9-10.</w:t>
      </w:r>
    </w:p>
  </w:footnote>
  <w:footnote w:id="407">
    <w:p w14:paraId="303714C7" w14:textId="3D17DCD0" w:rsidR="00C14253" w:rsidRPr="00570190" w:rsidRDefault="00C14253" w:rsidP="00CD63E6">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B. </w:t>
      </w:r>
      <w:r w:rsidRPr="00570190">
        <w:rPr>
          <w:rFonts w:ascii="Times New Roman" w:hAnsi="Times New Roman" w:cs="Times New Roman"/>
          <w:smallCaps/>
          <w:sz w:val="20"/>
          <w:szCs w:val="20"/>
        </w:rPr>
        <w:t xml:space="preserve">Stern, H. Ruiz Fabri, </w:t>
      </w:r>
      <w:r w:rsidRPr="00570190">
        <w:rPr>
          <w:rFonts w:ascii="Times New Roman" w:hAnsi="Times New Roman" w:cs="Times New Roman"/>
          <w:i/>
          <w:sz w:val="20"/>
          <w:szCs w:val="20"/>
          <w:highlight w:val="lightGray"/>
        </w:rPr>
        <w:t>The Case-Law of the WTO, La jurisprudence de l’OMC, 1996-1997</w:t>
      </w:r>
      <w:r w:rsidRPr="00570190">
        <w:rPr>
          <w:rFonts w:ascii="Times New Roman" w:hAnsi="Times New Roman" w:cs="Times New Roman"/>
          <w:sz w:val="20"/>
          <w:szCs w:val="20"/>
          <w:highlight w:val="lightGray"/>
        </w:rPr>
        <w:t xml:space="preserve">, </w:t>
      </w:r>
      <w:r w:rsidRPr="00570190">
        <w:rPr>
          <w:rFonts w:ascii="Times New Roman" w:hAnsi="Times New Roman" w:cs="Times New Roman"/>
          <w:i/>
          <w:sz w:val="20"/>
          <w:szCs w:val="20"/>
          <w:highlight w:val="lightGray"/>
        </w:rPr>
        <w:t>op. cit.</w:t>
      </w:r>
      <w:r w:rsidRPr="00570190">
        <w:rPr>
          <w:rFonts w:ascii="Times New Roman" w:hAnsi="Times New Roman" w:cs="Times New Roman"/>
          <w:sz w:val="20"/>
          <w:szCs w:val="20"/>
          <w:highlight w:val="lightGray"/>
        </w:rPr>
        <w:t>, p. 180.</w:t>
      </w:r>
    </w:p>
    <w:p w14:paraId="655D18B9" w14:textId="77777777" w:rsidR="00C14253" w:rsidRPr="00570190" w:rsidRDefault="00C14253" w:rsidP="00AD0516">
      <w:pPr>
        <w:pStyle w:val="Notedebasdepage"/>
        <w:rPr>
          <w:rFonts w:ascii="Times New Roman" w:hAnsi="Times New Roman" w:cs="Times New Roman"/>
          <w:sz w:val="20"/>
          <w:szCs w:val="20"/>
          <w:lang w:val="nl-NL"/>
        </w:rPr>
      </w:pPr>
    </w:p>
  </w:footnote>
  <w:footnote w:id="408">
    <w:p w14:paraId="3F8A68B8" w14:textId="418EEEA6" w:rsidR="00C14253" w:rsidRPr="00570190" w:rsidRDefault="00C14253" w:rsidP="00AD0516">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B. </w:t>
      </w:r>
      <w:r w:rsidRPr="00570190">
        <w:rPr>
          <w:rFonts w:ascii="Times New Roman" w:hAnsi="Times New Roman" w:cs="Times New Roman"/>
          <w:smallCaps/>
          <w:sz w:val="20"/>
          <w:szCs w:val="20"/>
        </w:rPr>
        <w:t xml:space="preserve">Stern, H. Ruiz Fabri, </w:t>
      </w:r>
      <w:r w:rsidRPr="00570190">
        <w:rPr>
          <w:rFonts w:ascii="Times New Roman" w:hAnsi="Times New Roman" w:cs="Times New Roman"/>
          <w:i/>
          <w:sz w:val="20"/>
          <w:szCs w:val="20"/>
          <w:highlight w:val="lightGray"/>
        </w:rPr>
        <w:t>The Case-Law of the WTO, La jurisprudence de l’OMC, 1996-1997</w:t>
      </w:r>
      <w:r w:rsidRPr="00570190">
        <w:rPr>
          <w:rFonts w:ascii="Times New Roman" w:hAnsi="Times New Roman" w:cs="Times New Roman"/>
          <w:sz w:val="20"/>
          <w:szCs w:val="20"/>
          <w:highlight w:val="lightGray"/>
        </w:rPr>
        <w:t xml:space="preserve">, </w:t>
      </w:r>
      <w:r w:rsidRPr="00570190">
        <w:rPr>
          <w:rFonts w:ascii="Times New Roman" w:hAnsi="Times New Roman" w:cs="Times New Roman"/>
          <w:i/>
          <w:sz w:val="20"/>
          <w:szCs w:val="20"/>
          <w:highlight w:val="lightGray"/>
        </w:rPr>
        <w:t>op. cit.</w:t>
      </w:r>
      <w:r w:rsidRPr="00570190">
        <w:rPr>
          <w:rFonts w:ascii="Times New Roman" w:hAnsi="Times New Roman" w:cs="Times New Roman"/>
          <w:sz w:val="20"/>
          <w:szCs w:val="20"/>
          <w:highlight w:val="lightGray"/>
        </w:rPr>
        <w:t>, p. 180.</w:t>
      </w:r>
    </w:p>
  </w:footnote>
  <w:footnote w:id="409">
    <w:p w14:paraId="3BE029D2" w14:textId="77777777" w:rsidR="00C14253" w:rsidRPr="00570190" w:rsidRDefault="00C14253" w:rsidP="00AD0516">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Appellate body secretariat, </w:t>
      </w:r>
      <w:r w:rsidRPr="00570190">
        <w:rPr>
          <w:rFonts w:ascii="Times New Roman" w:hAnsi="Times New Roman" w:cs="Times New Roman"/>
          <w:i/>
          <w:sz w:val="20"/>
          <w:szCs w:val="20"/>
        </w:rPr>
        <w:t>op. cit.</w:t>
      </w:r>
      <w:r w:rsidRPr="00570190">
        <w:rPr>
          <w:rFonts w:ascii="Times New Roman" w:hAnsi="Times New Roman" w:cs="Times New Roman"/>
          <w:sz w:val="20"/>
          <w:szCs w:val="20"/>
        </w:rPr>
        <w:t>, p. 12.</w:t>
      </w:r>
    </w:p>
  </w:footnote>
  <w:footnote w:id="410">
    <w:p w14:paraId="21B12200" w14:textId="1B3A9A71" w:rsidR="00C14253" w:rsidRPr="00570190" w:rsidRDefault="00C14253" w:rsidP="00CD63E6">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Essence, </w:t>
      </w:r>
      <w:r w:rsidRPr="00570190">
        <w:rPr>
          <w:rFonts w:ascii="Times New Roman" w:hAnsi="Times New Roman" w:cs="Times New Roman"/>
          <w:sz w:val="20"/>
          <w:szCs w:val="20"/>
          <w:lang w:val="nl-NL"/>
        </w:rPr>
        <w:t xml:space="preserve">rapport de l’Organe d’appel, p. 16; </w:t>
      </w:r>
      <w:r w:rsidRPr="00570190">
        <w:rPr>
          <w:rFonts w:ascii="Times New Roman" w:hAnsi="Times New Roman" w:cs="Times New Roman"/>
          <w:sz w:val="20"/>
          <w:szCs w:val="20"/>
        </w:rPr>
        <w:t xml:space="preserve">World Trade Organization, </w:t>
      </w:r>
      <w:r w:rsidRPr="00570190">
        <w:rPr>
          <w:rFonts w:ascii="Times New Roman" w:hAnsi="Times New Roman" w:cs="Times New Roman"/>
          <w:i/>
          <w:sz w:val="20"/>
          <w:szCs w:val="20"/>
        </w:rPr>
        <w:t>WTO Analytical Index, Guide to WTO Law and Practice</w:t>
      </w:r>
      <w:r w:rsidRPr="00570190">
        <w:rPr>
          <w:rFonts w:ascii="Times New Roman" w:hAnsi="Times New Roman" w:cs="Times New Roman"/>
          <w:sz w:val="20"/>
          <w:szCs w:val="20"/>
        </w:rPr>
        <w:t>, p. 300.</w:t>
      </w:r>
    </w:p>
  </w:footnote>
  <w:footnote w:id="411">
    <w:p w14:paraId="23722322" w14:textId="760AF9F2" w:rsidR="00C14253" w:rsidRPr="00570190" w:rsidRDefault="00C14253" w:rsidP="00AD0516">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 xml:space="preserve">Essence, </w:t>
      </w:r>
      <w:r w:rsidRPr="00570190">
        <w:rPr>
          <w:rFonts w:ascii="Times New Roman" w:hAnsi="Times New Roman" w:cs="Times New Roman"/>
          <w:sz w:val="20"/>
          <w:szCs w:val="20"/>
          <w:lang w:val="nl-NL"/>
        </w:rPr>
        <w:t>rapport de l’Organe d’appel, p. 16.</w:t>
      </w:r>
    </w:p>
  </w:footnote>
  <w:footnote w:id="412">
    <w:p w14:paraId="6CBA8D9D" w14:textId="622D82A2" w:rsidR="00C14253" w:rsidRPr="00570190" w:rsidRDefault="00C14253" w:rsidP="00AD0516">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rPr>
        <w:t xml:space="preserve"> Ibid.</w:t>
      </w:r>
      <w:r w:rsidRPr="00570190">
        <w:rPr>
          <w:rFonts w:ascii="Times New Roman" w:hAnsi="Times New Roman" w:cs="Times New Roman"/>
          <w:sz w:val="20"/>
          <w:szCs w:val="20"/>
          <w:lang w:val="nl-NL"/>
        </w:rPr>
        <w:t xml:space="preserve">, p.17; </w:t>
      </w:r>
      <w:r w:rsidRPr="00570190">
        <w:rPr>
          <w:rFonts w:ascii="Times New Roman" w:hAnsi="Times New Roman" w:cs="Times New Roman"/>
          <w:sz w:val="20"/>
          <w:szCs w:val="20"/>
        </w:rPr>
        <w:t xml:space="preserve">World Trade Organization, </w:t>
      </w:r>
      <w:r w:rsidRPr="00570190">
        <w:rPr>
          <w:rFonts w:ascii="Times New Roman" w:hAnsi="Times New Roman" w:cs="Times New Roman"/>
          <w:i/>
          <w:sz w:val="20"/>
          <w:szCs w:val="20"/>
        </w:rPr>
        <w:t>WTO Analytical Index, Guide to WTO Law and Practice</w:t>
      </w:r>
      <w:r w:rsidRPr="00570190">
        <w:rPr>
          <w:rFonts w:ascii="Times New Roman" w:hAnsi="Times New Roman" w:cs="Times New Roman"/>
          <w:sz w:val="20"/>
          <w:szCs w:val="20"/>
        </w:rPr>
        <w:t>, p. 302.</w:t>
      </w:r>
    </w:p>
  </w:footnote>
  <w:footnote w:id="413">
    <w:p w14:paraId="4A33F147" w14:textId="79A5BCD1" w:rsidR="00C14253" w:rsidRPr="00570190" w:rsidRDefault="00C14253" w:rsidP="00633E84">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S</w:t>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 xml:space="preserve">Zlepting, </w:t>
      </w:r>
      <w:r w:rsidRPr="00570190">
        <w:rPr>
          <w:rFonts w:ascii="Times New Roman" w:hAnsi="Times New Roman" w:cs="Times New Roman"/>
          <w:i/>
          <w:sz w:val="20"/>
          <w:szCs w:val="20"/>
          <w:lang w:val="nl-NL"/>
        </w:rPr>
        <w:t xml:space="preserve">op. cit., </w:t>
      </w:r>
      <w:r w:rsidRPr="00570190">
        <w:rPr>
          <w:rFonts w:ascii="Times New Roman" w:hAnsi="Times New Roman" w:cs="Times New Roman"/>
          <w:sz w:val="20"/>
          <w:szCs w:val="20"/>
          <w:lang w:val="nl-NL"/>
        </w:rPr>
        <w:t>p. 266.</w:t>
      </w:r>
    </w:p>
  </w:footnote>
  <w:footnote w:id="414">
    <w:p w14:paraId="52A92946" w14:textId="4E711878" w:rsidR="00C14253" w:rsidRPr="00570190" w:rsidRDefault="00C14253" w:rsidP="00111226">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”Pratique du GATT/de l’OMC”, </w:t>
      </w:r>
      <w:r w:rsidRPr="00570190">
        <w:rPr>
          <w:rFonts w:ascii="Times New Roman" w:hAnsi="Times New Roman" w:cs="Times New Roman"/>
          <w:sz w:val="20"/>
          <w:szCs w:val="20"/>
        </w:rPr>
        <w:t>p. 26 ;</w:t>
      </w:r>
      <w:r w:rsidRPr="00570190">
        <w:rPr>
          <w:rFonts w:ascii="Times New Roman" w:hAnsi="Times New Roman" w:cs="Times New Roman"/>
          <w:smallCaps/>
          <w:sz w:val="20"/>
          <w:szCs w:val="20"/>
        </w:rPr>
        <w:t xml:space="preserve"> </w:t>
      </w:r>
      <w:r w:rsidRPr="00570190">
        <w:rPr>
          <w:rFonts w:ascii="Times New Roman" w:hAnsi="Times New Roman" w:cs="Times New Roman"/>
          <w:i/>
          <w:sz w:val="20"/>
          <w:szCs w:val="20"/>
        </w:rPr>
        <w:t>Guide des règles et pratiques du GATT, Index analytique</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634.</w:t>
      </w:r>
    </w:p>
  </w:footnote>
  <w:footnote w:id="415">
    <w:p w14:paraId="662FC8B9" w14:textId="0B00565C" w:rsidR="00C14253" w:rsidRPr="00570190" w:rsidRDefault="00C14253" w:rsidP="00111226">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highlight w:val="lightGray"/>
        </w:rPr>
        <w:t>Thon 1982</w:t>
      </w:r>
      <w:r w:rsidRPr="00570190">
        <w:rPr>
          <w:rFonts w:ascii="Times New Roman" w:hAnsi="Times New Roman" w:cs="Times New Roman"/>
          <w:sz w:val="20"/>
          <w:szCs w:val="20"/>
          <w:highlight w:val="lightGray"/>
        </w:rPr>
        <w:t xml:space="preserve">, </w:t>
      </w:r>
      <w:r w:rsidRPr="00570190">
        <w:rPr>
          <w:rFonts w:ascii="Times New Roman" w:hAnsi="Times New Roman" w:cs="Times New Roman"/>
          <w:sz w:val="20"/>
          <w:szCs w:val="20"/>
          <w:highlight w:val="lightGray"/>
          <w:lang w:val="nl-NL"/>
        </w:rPr>
        <w:t>rapport adopté le 22 février 1982, IBDD, S29/96, p. 12.</w:t>
      </w:r>
    </w:p>
  </w:footnote>
  <w:footnote w:id="416">
    <w:p w14:paraId="7327FD21" w14:textId="77777777" w:rsidR="00C14253" w:rsidRPr="00570190" w:rsidRDefault="00C14253" w:rsidP="00004E6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E. </w:t>
      </w:r>
      <w:r w:rsidRPr="00570190">
        <w:rPr>
          <w:rFonts w:ascii="Times New Roman" w:hAnsi="Times New Roman" w:cs="Times New Roman"/>
          <w:smallCaps/>
          <w:sz w:val="20"/>
          <w:szCs w:val="20"/>
        </w:rPr>
        <w:t xml:space="preserve">Canal-Forgues, T. Flory, </w:t>
      </w:r>
      <w:r w:rsidRPr="00570190">
        <w:rPr>
          <w:rFonts w:ascii="Times New Roman" w:hAnsi="Times New Roman" w:cs="Times New Roman"/>
          <w:i/>
          <w:iCs/>
          <w:sz w:val="20"/>
          <w:szCs w:val="20"/>
        </w:rPr>
        <w:t>op. cit.</w:t>
      </w:r>
      <w:r w:rsidRPr="00570190">
        <w:rPr>
          <w:rFonts w:ascii="Times New Roman" w:hAnsi="Times New Roman" w:cs="Times New Roman"/>
          <w:sz w:val="20"/>
          <w:szCs w:val="20"/>
          <w:lang w:val="nl-NL"/>
        </w:rPr>
        <w:t>, p. 251.</w:t>
      </w:r>
    </w:p>
  </w:footnote>
  <w:footnote w:id="417">
    <w:p w14:paraId="6026DD83" w14:textId="4B1A69E1" w:rsidR="00C14253" w:rsidRPr="00570190" w:rsidRDefault="00C14253" w:rsidP="00004E6E">
      <w:pPr>
        <w:pStyle w:val="Notedebasdepage"/>
        <w:rPr>
          <w:rFonts w:ascii="Times New Roman" w:hAnsi="Times New Roman" w:cs="Times New Roman"/>
          <w:iCs/>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xml:space="preserve">, </w:t>
      </w:r>
      <w:r w:rsidRPr="00570190">
        <w:rPr>
          <w:rFonts w:ascii="Times New Roman" w:hAnsi="Times New Roman" w:cs="Times New Roman"/>
          <w:iCs/>
          <w:sz w:val="20"/>
          <w:szCs w:val="20"/>
        </w:rPr>
        <w:t>p. 251.</w:t>
      </w:r>
    </w:p>
  </w:footnote>
  <w:footnote w:id="418">
    <w:p w14:paraId="4E0CD49D" w14:textId="77777777" w:rsidR="00C14253" w:rsidRPr="00570190" w:rsidRDefault="00C14253" w:rsidP="00004E6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Saumons/Harengs</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rapport du Groupe spécial, § 4.4.</w:t>
      </w:r>
    </w:p>
  </w:footnote>
  <w:footnote w:id="419">
    <w:p w14:paraId="5D4565B2" w14:textId="77777777" w:rsidR="00C14253" w:rsidRPr="00570190" w:rsidRDefault="00C14253" w:rsidP="00004E6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E. </w:t>
      </w:r>
      <w:r w:rsidRPr="00570190">
        <w:rPr>
          <w:rFonts w:ascii="Times New Roman" w:hAnsi="Times New Roman" w:cs="Times New Roman"/>
          <w:smallCaps/>
          <w:sz w:val="20"/>
          <w:szCs w:val="20"/>
        </w:rPr>
        <w:t xml:space="preserve">Canal-Forgues, T. Flory, </w:t>
      </w:r>
      <w:r w:rsidRPr="00570190">
        <w:rPr>
          <w:rFonts w:ascii="Times New Roman" w:hAnsi="Times New Roman" w:cs="Times New Roman"/>
          <w:i/>
          <w:iCs/>
          <w:sz w:val="20"/>
          <w:szCs w:val="20"/>
        </w:rPr>
        <w:t>op. cit.</w:t>
      </w:r>
      <w:r w:rsidRPr="00570190">
        <w:rPr>
          <w:rFonts w:ascii="Times New Roman" w:hAnsi="Times New Roman" w:cs="Times New Roman"/>
          <w:iCs/>
          <w:sz w:val="20"/>
          <w:szCs w:val="20"/>
        </w:rPr>
        <w:t xml:space="preserve">, </w:t>
      </w:r>
      <w:r w:rsidRPr="00570190">
        <w:rPr>
          <w:rFonts w:ascii="Times New Roman" w:hAnsi="Times New Roman" w:cs="Times New Roman"/>
          <w:sz w:val="20"/>
          <w:szCs w:val="20"/>
          <w:lang w:val="nl-NL"/>
        </w:rPr>
        <w:t>p. 254.</w:t>
      </w:r>
    </w:p>
  </w:footnote>
  <w:footnote w:id="420">
    <w:p w14:paraId="4A5B55A0" w14:textId="1725B282" w:rsidR="00C14253" w:rsidRPr="00570190" w:rsidRDefault="00C14253" w:rsidP="00004E6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rPr>
        <w:t xml:space="preserve"> Saumons/Harengs</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rapport du Groupe spécial, § 4.5.</w:t>
      </w:r>
    </w:p>
  </w:footnote>
  <w:footnote w:id="421">
    <w:p w14:paraId="2CF0AD8C" w14:textId="77777777" w:rsidR="00C14253" w:rsidRPr="00570190" w:rsidRDefault="00C14253" w:rsidP="00004E6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xml:space="preserve"> § 4.5.; E. </w:t>
      </w:r>
      <w:r w:rsidRPr="00570190">
        <w:rPr>
          <w:rFonts w:ascii="Times New Roman" w:hAnsi="Times New Roman" w:cs="Times New Roman"/>
          <w:smallCaps/>
          <w:sz w:val="20"/>
          <w:szCs w:val="20"/>
        </w:rPr>
        <w:t xml:space="preserve">Canal-Forgues, T. Flory, </w:t>
      </w:r>
      <w:r w:rsidRPr="00570190">
        <w:rPr>
          <w:rFonts w:ascii="Times New Roman" w:hAnsi="Times New Roman" w:cs="Times New Roman"/>
          <w:i/>
          <w:iCs/>
          <w:sz w:val="20"/>
          <w:szCs w:val="20"/>
        </w:rPr>
        <w:t>op. cit.</w:t>
      </w:r>
      <w:r w:rsidRPr="00570190">
        <w:rPr>
          <w:rFonts w:ascii="Times New Roman" w:hAnsi="Times New Roman" w:cs="Times New Roman"/>
          <w:iCs/>
          <w:sz w:val="20"/>
          <w:szCs w:val="20"/>
        </w:rPr>
        <w:t>,</w:t>
      </w:r>
      <w:r w:rsidRPr="00570190">
        <w:rPr>
          <w:rFonts w:ascii="Times New Roman" w:hAnsi="Times New Roman" w:cs="Times New Roman"/>
          <w:sz w:val="20"/>
          <w:szCs w:val="20"/>
          <w:lang w:val="nl-NL"/>
        </w:rPr>
        <w:t xml:space="preserve"> p. 252.</w:t>
      </w:r>
    </w:p>
  </w:footnote>
  <w:footnote w:id="422">
    <w:p w14:paraId="283EA635" w14:textId="642683BA" w:rsidR="00C14253" w:rsidRPr="00570190" w:rsidRDefault="00C14253" w:rsidP="00004E6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rPr>
        <w:t>Saumons/Harengs</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rapport du Groupe spécial, §4.5.</w:t>
      </w:r>
    </w:p>
  </w:footnote>
  <w:footnote w:id="423">
    <w:p w14:paraId="067B0AA3" w14:textId="4313E2A7" w:rsidR="00C14253" w:rsidRPr="00570190" w:rsidRDefault="00C14253" w:rsidP="00004E6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rPr>
        <w:t xml:space="preserve"> Ibid.</w:t>
      </w:r>
      <w:r w:rsidRPr="00570190">
        <w:rPr>
          <w:rFonts w:ascii="Times New Roman" w:hAnsi="Times New Roman" w:cs="Times New Roman"/>
          <w:sz w:val="20"/>
          <w:szCs w:val="20"/>
          <w:lang w:val="nl-NL"/>
        </w:rPr>
        <w:t xml:space="preserve">, §4.5; E. </w:t>
      </w:r>
      <w:r w:rsidRPr="00570190">
        <w:rPr>
          <w:rFonts w:ascii="Times New Roman" w:hAnsi="Times New Roman" w:cs="Times New Roman"/>
          <w:smallCaps/>
          <w:sz w:val="20"/>
          <w:szCs w:val="20"/>
        </w:rPr>
        <w:t xml:space="preserve">Canal-Forgues, T. Flory, </w:t>
      </w:r>
      <w:r w:rsidRPr="00570190">
        <w:rPr>
          <w:rFonts w:ascii="Times New Roman" w:hAnsi="Times New Roman" w:cs="Times New Roman"/>
          <w:i/>
          <w:iCs/>
          <w:sz w:val="20"/>
          <w:szCs w:val="20"/>
        </w:rPr>
        <w:t xml:space="preserve">op. cit., </w:t>
      </w:r>
      <w:r w:rsidRPr="00570190">
        <w:rPr>
          <w:rFonts w:ascii="Times New Roman" w:hAnsi="Times New Roman" w:cs="Times New Roman"/>
          <w:sz w:val="20"/>
          <w:szCs w:val="20"/>
          <w:lang w:val="nl-NL"/>
        </w:rPr>
        <w:t>p. 252.</w:t>
      </w:r>
    </w:p>
  </w:footnote>
  <w:footnote w:id="424">
    <w:p w14:paraId="3953B85A" w14:textId="4CAB96B0" w:rsidR="00C14253" w:rsidRPr="00570190" w:rsidRDefault="00C14253" w:rsidP="00004E6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E. </w:t>
      </w:r>
      <w:r w:rsidRPr="00570190">
        <w:rPr>
          <w:rFonts w:ascii="Times New Roman" w:hAnsi="Times New Roman" w:cs="Times New Roman"/>
          <w:smallCaps/>
          <w:sz w:val="20"/>
          <w:szCs w:val="20"/>
        </w:rPr>
        <w:t xml:space="preserve">Canal-Forgues, T. Flory, </w:t>
      </w:r>
      <w:r w:rsidRPr="00570190">
        <w:rPr>
          <w:rFonts w:ascii="Times New Roman" w:hAnsi="Times New Roman" w:cs="Times New Roman"/>
          <w:i/>
          <w:iCs/>
          <w:sz w:val="20"/>
          <w:szCs w:val="20"/>
        </w:rPr>
        <w:t xml:space="preserve">op. cit., </w:t>
      </w:r>
      <w:r w:rsidRPr="00570190">
        <w:rPr>
          <w:rFonts w:ascii="Times New Roman" w:hAnsi="Times New Roman" w:cs="Times New Roman"/>
          <w:sz w:val="20"/>
          <w:szCs w:val="20"/>
          <w:lang w:val="nl-NL"/>
        </w:rPr>
        <w:t xml:space="preserve">p. 255 ; </w:t>
      </w:r>
      <w:r w:rsidRPr="00570190">
        <w:rPr>
          <w:rFonts w:ascii="Times New Roman" w:hAnsi="Times New Roman" w:cs="Times New Roman"/>
          <w:i/>
          <w:sz w:val="20"/>
          <w:szCs w:val="20"/>
          <w:lang w:val="nl-NL"/>
        </w:rPr>
        <w:t>Saumons/Harengs</w:t>
      </w:r>
      <w:r w:rsidRPr="00570190">
        <w:rPr>
          <w:rFonts w:ascii="Times New Roman" w:hAnsi="Times New Roman" w:cs="Times New Roman"/>
          <w:sz w:val="20"/>
          <w:szCs w:val="20"/>
          <w:lang w:val="nl-NL"/>
        </w:rPr>
        <w:t>, rapport du Groupe spécial, § 4.6.</w:t>
      </w:r>
    </w:p>
  </w:footnote>
  <w:footnote w:id="425">
    <w:p w14:paraId="5BD423D1" w14:textId="77777777" w:rsidR="00C14253" w:rsidRPr="00570190" w:rsidRDefault="00C14253" w:rsidP="00004E6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Saumons/Harengs</w:t>
      </w:r>
      <w:r w:rsidRPr="00570190">
        <w:rPr>
          <w:rFonts w:ascii="Times New Roman" w:hAnsi="Times New Roman" w:cs="Times New Roman"/>
          <w:sz w:val="20"/>
          <w:szCs w:val="20"/>
          <w:lang w:val="nl-NL"/>
        </w:rPr>
        <w:t>, rapport du Groupe spécial, § 4.6.</w:t>
      </w:r>
    </w:p>
  </w:footnote>
  <w:footnote w:id="426">
    <w:p w14:paraId="746F01EF" w14:textId="716D9A6F" w:rsidR="00C14253" w:rsidRPr="00570190" w:rsidRDefault="00C14253" w:rsidP="00004E6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lang w:val="nl-NL"/>
        </w:rPr>
        <w:t xml:space="preserve"> Ibid.</w:t>
      </w:r>
      <w:r w:rsidRPr="00570190">
        <w:rPr>
          <w:rFonts w:ascii="Times New Roman" w:hAnsi="Times New Roman" w:cs="Times New Roman"/>
          <w:sz w:val="20"/>
          <w:szCs w:val="20"/>
          <w:lang w:val="nl-NL"/>
        </w:rPr>
        <w:t>, § 4.6.</w:t>
      </w:r>
    </w:p>
  </w:footnote>
  <w:footnote w:id="427">
    <w:p w14:paraId="61AA1513" w14:textId="77777777" w:rsidR="00C14253" w:rsidRPr="00570190" w:rsidRDefault="00C14253" w:rsidP="00004E6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E. </w:t>
      </w:r>
      <w:r w:rsidRPr="00570190">
        <w:rPr>
          <w:rFonts w:ascii="Times New Roman" w:hAnsi="Times New Roman" w:cs="Times New Roman"/>
          <w:smallCaps/>
          <w:sz w:val="20"/>
          <w:szCs w:val="20"/>
        </w:rPr>
        <w:t>Canal-Forgues, T. Flory</w:t>
      </w:r>
      <w:r w:rsidRPr="00570190">
        <w:rPr>
          <w:rFonts w:ascii="Times New Roman" w:hAnsi="Times New Roman" w:cs="Times New Roman"/>
          <w:sz w:val="20"/>
          <w:szCs w:val="20"/>
          <w:lang w:val="nl-NL"/>
        </w:rPr>
        <w:t>,</w:t>
      </w:r>
      <w:r w:rsidRPr="00570190">
        <w:rPr>
          <w:rFonts w:ascii="Times New Roman" w:hAnsi="Times New Roman" w:cs="Times New Roman"/>
          <w:i/>
          <w:iCs/>
          <w:sz w:val="20"/>
          <w:szCs w:val="20"/>
        </w:rPr>
        <w:t xml:space="preserve"> op. cit.</w:t>
      </w:r>
      <w:r w:rsidRPr="00570190">
        <w:rPr>
          <w:rFonts w:ascii="Times New Roman" w:hAnsi="Times New Roman" w:cs="Times New Roman"/>
          <w:iCs/>
          <w:sz w:val="20"/>
          <w:szCs w:val="20"/>
        </w:rPr>
        <w:t>,</w:t>
      </w:r>
      <w:r w:rsidRPr="00570190">
        <w:rPr>
          <w:rFonts w:ascii="Times New Roman" w:hAnsi="Times New Roman" w:cs="Times New Roman"/>
          <w:sz w:val="20"/>
          <w:szCs w:val="20"/>
          <w:lang w:val="nl-NL"/>
        </w:rPr>
        <w:t xml:space="preserve"> p. 255.</w:t>
      </w:r>
    </w:p>
  </w:footnote>
  <w:footnote w:id="428">
    <w:p w14:paraId="54F75F6E" w14:textId="77777777" w:rsidR="00C14253" w:rsidRPr="00570190" w:rsidRDefault="00C14253" w:rsidP="00004E6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Saumons/Harengs</w:t>
      </w:r>
      <w:r w:rsidRPr="00570190">
        <w:rPr>
          <w:rFonts w:ascii="Times New Roman" w:hAnsi="Times New Roman" w:cs="Times New Roman"/>
          <w:sz w:val="20"/>
          <w:szCs w:val="20"/>
          <w:lang w:val="nl-NL"/>
        </w:rPr>
        <w:t>, rapport du Groupe spécial, § 4.6.</w:t>
      </w:r>
    </w:p>
  </w:footnote>
  <w:footnote w:id="429">
    <w:p w14:paraId="3114DD86" w14:textId="77777777" w:rsidR="00C14253" w:rsidRPr="00570190" w:rsidRDefault="00C14253" w:rsidP="00004E6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 4.6.</w:t>
      </w:r>
    </w:p>
  </w:footnote>
  <w:footnote w:id="430">
    <w:p w14:paraId="28892DF2" w14:textId="4E5F25D1" w:rsidR="00C14253" w:rsidRPr="00570190" w:rsidRDefault="00C14253" w:rsidP="00004E6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 4.7; ”Pratique du GATT/de l’OMC”, p. 23.</w:t>
      </w:r>
    </w:p>
  </w:footnote>
  <w:footnote w:id="431">
    <w:p w14:paraId="31B45C61" w14:textId="77777777" w:rsidR="00C14253" w:rsidRPr="00570190" w:rsidRDefault="00C14253" w:rsidP="00004E6E">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Saumons/Harengs</w:t>
      </w:r>
      <w:r w:rsidRPr="00570190">
        <w:rPr>
          <w:rFonts w:ascii="Times New Roman" w:hAnsi="Times New Roman" w:cs="Times New Roman"/>
          <w:sz w:val="20"/>
          <w:szCs w:val="20"/>
          <w:lang w:val="nl-NL"/>
        </w:rPr>
        <w:t>, rapport du Groupe spécial, § 4.7.</w:t>
      </w:r>
    </w:p>
  </w:footnote>
  <w:footnote w:id="432">
    <w:p w14:paraId="7D3F4CF5" w14:textId="4AFE4C6B" w:rsidR="00C14253" w:rsidRPr="00570190" w:rsidRDefault="00C14253" w:rsidP="00ED4DA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lang w:val="nl-NL"/>
        </w:rPr>
        <w:t xml:space="preserve"> Thon I</w:t>
      </w:r>
      <w:r w:rsidRPr="00570190">
        <w:rPr>
          <w:rFonts w:ascii="Times New Roman" w:hAnsi="Times New Roman" w:cs="Times New Roman"/>
          <w:sz w:val="20"/>
          <w:szCs w:val="20"/>
          <w:lang w:val="nl-NL"/>
        </w:rPr>
        <w:t>, rapport du Groupe spécial, § 5.33; ”Pratique du GATT/de l’OMC”, p. 23.</w:t>
      </w:r>
    </w:p>
  </w:footnote>
  <w:footnote w:id="433">
    <w:p w14:paraId="007842CD" w14:textId="187278B8" w:rsidR="00C14253" w:rsidRPr="00570190" w:rsidRDefault="00C14253" w:rsidP="00ED4DA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 5.28.</w:t>
      </w:r>
    </w:p>
  </w:footnote>
  <w:footnote w:id="434">
    <w:p w14:paraId="20A76640" w14:textId="6791EB86" w:rsidR="00C14253" w:rsidRPr="00570190" w:rsidRDefault="00C14253" w:rsidP="00ED4DA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 xml:space="preserve">F. Roessler, </w:t>
      </w:r>
      <w:r w:rsidRPr="00570190">
        <w:rPr>
          <w:rFonts w:ascii="Times New Roman" w:hAnsi="Times New Roman" w:cs="Times New Roman"/>
          <w:i/>
          <w:sz w:val="20"/>
          <w:szCs w:val="20"/>
        </w:rPr>
        <w:t>Guide des règles et pratiques du GATT, Index analytique</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p. 617.   </w:t>
      </w:r>
    </w:p>
  </w:footnote>
  <w:footnote w:id="435">
    <w:p w14:paraId="510A6C6F" w14:textId="6405662B" w:rsidR="00C14253" w:rsidRPr="00570190" w:rsidRDefault="00C14253" w:rsidP="00ED4DA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Thon I</w:t>
      </w:r>
      <w:r w:rsidRPr="00570190">
        <w:rPr>
          <w:rFonts w:ascii="Times New Roman" w:hAnsi="Times New Roman" w:cs="Times New Roman"/>
          <w:sz w:val="20"/>
          <w:szCs w:val="20"/>
          <w:lang w:val="nl-NL"/>
        </w:rPr>
        <w:t>, rapport du Groupe spécial, § 5.33.</w:t>
      </w:r>
    </w:p>
  </w:footnote>
  <w:footnote w:id="436">
    <w:p w14:paraId="3D7CC39D" w14:textId="148D000C"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”Pratique du GATT/de l’OMC”, </w:t>
      </w:r>
      <w:r w:rsidRPr="00570190">
        <w:rPr>
          <w:rFonts w:ascii="Times New Roman" w:hAnsi="Times New Roman" w:cs="Times New Roman"/>
          <w:sz w:val="20"/>
          <w:szCs w:val="20"/>
        </w:rPr>
        <w:t xml:space="preserve">p. 26 ; </w:t>
      </w:r>
      <w:r w:rsidRPr="00570190">
        <w:rPr>
          <w:rFonts w:ascii="Times New Roman" w:hAnsi="Times New Roman" w:cs="Times New Roman"/>
          <w:i/>
          <w:sz w:val="20"/>
          <w:szCs w:val="20"/>
        </w:rPr>
        <w:t>Guide des règles et pratiques du GATT, Index analytique</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634.</w:t>
      </w:r>
    </w:p>
  </w:footnote>
  <w:footnote w:id="437">
    <w:p w14:paraId="46F0B4DC" w14:textId="539DF3CA"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”Pratique du GATT/de l’OMC”</w:t>
      </w:r>
      <w:r w:rsidRPr="00570190">
        <w:rPr>
          <w:rFonts w:ascii="Times New Roman" w:hAnsi="Times New Roman" w:cs="Times New Roman"/>
          <w:sz w:val="20"/>
          <w:szCs w:val="20"/>
        </w:rPr>
        <w:t xml:space="preserve">, p. 26 ; </w:t>
      </w:r>
      <w:r w:rsidRPr="00570190">
        <w:rPr>
          <w:rFonts w:ascii="Times New Roman" w:hAnsi="Times New Roman" w:cs="Times New Roman"/>
          <w:i/>
          <w:sz w:val="20"/>
          <w:szCs w:val="20"/>
        </w:rPr>
        <w:t>Guide des règles et pratiques du GATT, Index analytique</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635.</w:t>
      </w:r>
    </w:p>
  </w:footnote>
  <w:footnote w:id="438">
    <w:p w14:paraId="48823F72" w14:textId="6D9E7A27" w:rsidR="00C14253" w:rsidRPr="00570190" w:rsidRDefault="00C14253" w:rsidP="00624F4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Thon I</w:t>
      </w:r>
      <w:r w:rsidRPr="00570190">
        <w:rPr>
          <w:rFonts w:ascii="Times New Roman" w:hAnsi="Times New Roman" w:cs="Times New Roman"/>
          <w:sz w:val="20"/>
          <w:szCs w:val="20"/>
          <w:lang w:val="nl-NL"/>
        </w:rPr>
        <w:t xml:space="preserve">, rapport du Groupe spécial, § 5.31. </w:t>
      </w:r>
    </w:p>
  </w:footnote>
  <w:footnote w:id="439">
    <w:p w14:paraId="22A5CFCA" w14:textId="7B9D26A8"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Saumons/Harengs</w:t>
      </w:r>
      <w:r w:rsidRPr="00570190">
        <w:rPr>
          <w:rFonts w:ascii="Times New Roman" w:hAnsi="Times New Roman" w:cs="Times New Roman"/>
          <w:sz w:val="20"/>
          <w:szCs w:val="20"/>
          <w:lang w:val="nl-NL"/>
        </w:rPr>
        <w:t>, rapport du Groupe spécial, §§ 5.31 et 5.32.</w:t>
      </w:r>
    </w:p>
  </w:footnote>
  <w:footnote w:id="440">
    <w:p w14:paraId="47C8D15B" w14:textId="4DF7C959" w:rsidR="00C14253" w:rsidRPr="00570190" w:rsidRDefault="00C14253" w:rsidP="00624F4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i/>
          <w:sz w:val="20"/>
          <w:szCs w:val="20"/>
        </w:rPr>
        <w:footnoteRef/>
      </w:r>
      <w:r w:rsidRPr="00570190">
        <w:rPr>
          <w:rFonts w:ascii="Times New Roman" w:hAnsi="Times New Roman" w:cs="Times New Roman"/>
          <w:i/>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 5.31 et 5.32.</w:t>
      </w:r>
    </w:p>
  </w:footnote>
  <w:footnote w:id="441">
    <w:p w14:paraId="7164F9C8" w14:textId="0CB090A1"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lang w:val="nl-NL"/>
        </w:rPr>
        <w:t xml:space="preserve"> Ibid.</w:t>
      </w:r>
      <w:r w:rsidRPr="00570190">
        <w:rPr>
          <w:rFonts w:ascii="Times New Roman" w:hAnsi="Times New Roman" w:cs="Times New Roman"/>
          <w:sz w:val="20"/>
          <w:szCs w:val="20"/>
          <w:lang w:val="nl-NL"/>
        </w:rPr>
        <w:t>, §§ 5.31 et 5.32.</w:t>
      </w:r>
    </w:p>
  </w:footnote>
  <w:footnote w:id="442">
    <w:p w14:paraId="7E145AD5" w14:textId="73C1165D" w:rsidR="00C14253" w:rsidRPr="00570190" w:rsidRDefault="00C14253" w:rsidP="00624F4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Thon II</w:t>
      </w:r>
      <w:r w:rsidRPr="00570190">
        <w:rPr>
          <w:rFonts w:ascii="Times New Roman" w:hAnsi="Times New Roman" w:cs="Times New Roman"/>
          <w:sz w:val="20"/>
          <w:szCs w:val="20"/>
          <w:lang w:val="nl-NL"/>
        </w:rPr>
        <w:t>, rapport du Groupe spécial, § 5.31 et 5.32</w:t>
      </w:r>
    </w:p>
  </w:footnote>
  <w:footnote w:id="443">
    <w:p w14:paraId="6DEDA838" w14:textId="0016FB3A" w:rsidR="00C14253" w:rsidRPr="00570190" w:rsidRDefault="00C14253" w:rsidP="00624F4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xml:space="preserve">, </w:t>
      </w:r>
      <w:r w:rsidRPr="00570190">
        <w:rPr>
          <w:rFonts w:ascii="Times New Roman" w:hAnsi="Times New Roman" w:cs="Times New Roman"/>
          <w:sz w:val="20"/>
          <w:szCs w:val="20"/>
        </w:rPr>
        <w:t>§ 5.31.</w:t>
      </w:r>
    </w:p>
  </w:footnote>
  <w:footnote w:id="444">
    <w:p w14:paraId="08028609" w14:textId="311919D2"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Guide des règles et pratiques du GATT, Index analytique</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p. 632.</w:t>
      </w:r>
    </w:p>
  </w:footnote>
  <w:footnote w:id="445">
    <w:p w14:paraId="515B5C83" w14:textId="1D81F970" w:rsidR="00C14253" w:rsidRPr="00570190" w:rsidRDefault="00C14253" w:rsidP="00624F4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Thon I</w:t>
      </w:r>
      <w:r w:rsidRPr="00570190">
        <w:rPr>
          <w:rFonts w:ascii="Times New Roman" w:hAnsi="Times New Roman" w:cs="Times New Roman"/>
          <w:sz w:val="20"/>
          <w:szCs w:val="20"/>
          <w:lang w:val="nl-NL"/>
        </w:rPr>
        <w:t>, rapport du Groupe spécial, § 5.32.</w:t>
      </w:r>
    </w:p>
  </w:footnote>
  <w:footnote w:id="446">
    <w:p w14:paraId="38F8E448" w14:textId="1E4B040C" w:rsidR="00C14253" w:rsidRPr="00570190" w:rsidRDefault="00C14253" w:rsidP="00624F4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 xml:space="preserve">Ibid., </w:t>
      </w:r>
      <w:r w:rsidRPr="00570190">
        <w:rPr>
          <w:rFonts w:ascii="Times New Roman" w:hAnsi="Times New Roman" w:cs="Times New Roman"/>
          <w:sz w:val="20"/>
          <w:szCs w:val="20"/>
          <w:lang w:val="nl-NL"/>
        </w:rPr>
        <w:t>§ 5.32.</w:t>
      </w:r>
    </w:p>
  </w:footnote>
  <w:footnote w:id="447">
    <w:p w14:paraId="76E95439" w14:textId="51E09DF8"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 xml:space="preserve"> </w:t>
      </w:r>
      <w:r w:rsidRPr="00570190">
        <w:rPr>
          <w:rFonts w:ascii="Times New Roman" w:hAnsi="Times New Roman" w:cs="Times New Roman"/>
          <w:i/>
          <w:sz w:val="20"/>
          <w:szCs w:val="20"/>
        </w:rPr>
        <w:t>Guide des règles et pratiques du GATT, Index analytique</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w:t>
      </w:r>
      <w:r w:rsidRPr="00570190">
        <w:rPr>
          <w:rFonts w:ascii="Times New Roman" w:hAnsi="Times New Roman" w:cs="Times New Roman"/>
          <w:sz w:val="20"/>
          <w:szCs w:val="20"/>
          <w:lang w:val="nl-NL"/>
        </w:rPr>
        <w:t xml:space="preserve"> pp. 633 et 634.</w:t>
      </w:r>
    </w:p>
  </w:footnote>
  <w:footnote w:id="448">
    <w:p w14:paraId="23D98DFB" w14:textId="234784B4" w:rsidR="00C14253" w:rsidRPr="00570190" w:rsidRDefault="00C14253" w:rsidP="00633E84">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Essence</w:t>
      </w:r>
      <w:r w:rsidRPr="00570190">
        <w:rPr>
          <w:rFonts w:ascii="Times New Roman" w:hAnsi="Times New Roman" w:cs="Times New Roman"/>
          <w:sz w:val="20"/>
          <w:szCs w:val="20"/>
          <w:lang w:val="nl-NL"/>
        </w:rPr>
        <w:t xml:space="preserve">, rapport de l’Organe d’appel, p. 21.; </w:t>
      </w:r>
      <w:r w:rsidRPr="00570190">
        <w:rPr>
          <w:rFonts w:ascii="Times New Roman" w:hAnsi="Times New Roman" w:cs="Times New Roman"/>
          <w:smallCaps/>
          <w:sz w:val="20"/>
          <w:szCs w:val="20"/>
        </w:rPr>
        <w:t>S</w:t>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 xml:space="preserve">Zlepting, </w:t>
      </w:r>
      <w:r w:rsidRPr="00570190">
        <w:rPr>
          <w:rFonts w:ascii="Times New Roman" w:hAnsi="Times New Roman" w:cs="Times New Roman"/>
          <w:i/>
          <w:sz w:val="20"/>
          <w:szCs w:val="20"/>
          <w:lang w:val="nl-NL"/>
        </w:rPr>
        <w:t xml:space="preserve">op. cit., </w:t>
      </w:r>
      <w:r w:rsidRPr="00570190">
        <w:rPr>
          <w:rFonts w:ascii="Times New Roman" w:hAnsi="Times New Roman" w:cs="Times New Roman"/>
          <w:sz w:val="20"/>
          <w:szCs w:val="20"/>
          <w:lang w:val="nl-NL"/>
        </w:rPr>
        <w:t>p. 267.</w:t>
      </w:r>
    </w:p>
  </w:footnote>
  <w:footnote w:id="449">
    <w:p w14:paraId="4DD4E4C6" w14:textId="58771F20"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lang w:val="nl-NL"/>
        </w:rPr>
        <w:t xml:space="preserve"> Ibid.</w:t>
      </w:r>
      <w:r w:rsidRPr="00570190">
        <w:rPr>
          <w:rFonts w:ascii="Times New Roman" w:hAnsi="Times New Roman" w:cs="Times New Roman"/>
          <w:sz w:val="20"/>
          <w:szCs w:val="20"/>
          <w:lang w:val="nl-NL"/>
        </w:rPr>
        <w:t>, p. 21.</w:t>
      </w:r>
    </w:p>
  </w:footnote>
  <w:footnote w:id="450">
    <w:p w14:paraId="3F5A7E11" w14:textId="16C376AA" w:rsidR="00C14253" w:rsidRPr="00570190" w:rsidRDefault="00C14253" w:rsidP="00624F4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rPr>
        <w:t xml:space="preserve"> Ibid.</w:t>
      </w:r>
      <w:r w:rsidRPr="00570190">
        <w:rPr>
          <w:rFonts w:ascii="Times New Roman" w:hAnsi="Times New Roman" w:cs="Times New Roman"/>
          <w:sz w:val="20"/>
          <w:szCs w:val="20"/>
          <w:lang w:val="nl-NL"/>
        </w:rPr>
        <w:t>, p. 22.</w:t>
      </w:r>
    </w:p>
  </w:footnote>
  <w:footnote w:id="451">
    <w:p w14:paraId="73D8EFE6" w14:textId="493783BB"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xml:space="preserve">., p. 23 ; E. </w:t>
      </w:r>
      <w:r w:rsidRPr="00570190">
        <w:rPr>
          <w:rFonts w:ascii="Times New Roman" w:hAnsi="Times New Roman" w:cs="Times New Roman"/>
          <w:smallCaps/>
          <w:sz w:val="20"/>
          <w:szCs w:val="20"/>
        </w:rPr>
        <w:t xml:space="preserve">Canal-Forgues, T. Flory,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p. 557.</w:t>
      </w:r>
    </w:p>
  </w:footnote>
  <w:footnote w:id="452">
    <w:p w14:paraId="0DA318D6" w14:textId="373112C4" w:rsidR="00C14253" w:rsidRPr="00570190" w:rsidRDefault="00C14253" w:rsidP="00624F4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lang w:val="nl-NL"/>
        </w:rPr>
        <w:t xml:space="preserve"> Ibid</w:t>
      </w:r>
      <w:r w:rsidRPr="00570190">
        <w:rPr>
          <w:rFonts w:ascii="Times New Roman" w:hAnsi="Times New Roman" w:cs="Times New Roman"/>
          <w:sz w:val="20"/>
          <w:szCs w:val="20"/>
          <w:lang w:val="nl-NL"/>
        </w:rPr>
        <w:t xml:space="preserve">., p. 23; E. </w:t>
      </w:r>
      <w:r w:rsidRPr="00570190">
        <w:rPr>
          <w:rFonts w:ascii="Times New Roman" w:hAnsi="Times New Roman" w:cs="Times New Roman"/>
          <w:smallCaps/>
          <w:sz w:val="20"/>
          <w:szCs w:val="20"/>
        </w:rPr>
        <w:t xml:space="preserve">Canal-Forgues, T. Flory,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p. 557.</w:t>
      </w:r>
    </w:p>
  </w:footnote>
  <w:footnote w:id="453">
    <w:p w14:paraId="44FC883B" w14:textId="5B65FFCE" w:rsidR="00C14253" w:rsidRPr="00570190" w:rsidRDefault="00C14253" w:rsidP="00624F4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Essence</w:t>
      </w:r>
      <w:r w:rsidRPr="00570190">
        <w:rPr>
          <w:rFonts w:ascii="Times New Roman" w:hAnsi="Times New Roman" w:cs="Times New Roman"/>
          <w:sz w:val="20"/>
          <w:szCs w:val="20"/>
          <w:lang w:val="nl-NL"/>
        </w:rPr>
        <w:t>, rapport de l’Organe d’appel, p. 23.</w:t>
      </w:r>
    </w:p>
  </w:footnote>
  <w:footnote w:id="454">
    <w:p w14:paraId="27032C02" w14:textId="17CE31AD" w:rsidR="00C14253" w:rsidRPr="00570190" w:rsidRDefault="00C14253" w:rsidP="00624F4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E. </w:t>
      </w:r>
      <w:r w:rsidRPr="00570190">
        <w:rPr>
          <w:rFonts w:ascii="Times New Roman" w:hAnsi="Times New Roman" w:cs="Times New Roman"/>
          <w:smallCaps/>
          <w:sz w:val="20"/>
          <w:szCs w:val="20"/>
        </w:rPr>
        <w:t xml:space="preserve">Canal-Forgues, T. Flory,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p. 557.</w:t>
      </w:r>
    </w:p>
  </w:footnote>
  <w:footnote w:id="455">
    <w:p w14:paraId="3FBC03C5" w14:textId="2AD49F0D" w:rsidR="00C14253" w:rsidRPr="00570190" w:rsidRDefault="00C14253" w:rsidP="00624F4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Note: Cette démarche avait été retenue dans sous l’empire du GATT dans l’affaire “Etats-Unis – Article 337 de la loi douanière de 1930”.</w:t>
      </w:r>
    </w:p>
  </w:footnote>
  <w:footnote w:id="456">
    <w:p w14:paraId="5D29580F" w14:textId="76C9B484"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E. </w:t>
      </w:r>
      <w:r w:rsidRPr="00570190">
        <w:rPr>
          <w:rFonts w:ascii="Times New Roman" w:hAnsi="Times New Roman" w:cs="Times New Roman"/>
          <w:smallCaps/>
          <w:sz w:val="20"/>
          <w:szCs w:val="20"/>
        </w:rPr>
        <w:t xml:space="preserve">Canal-Forgues, T. Flory,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p</w:t>
      </w:r>
      <w:r w:rsidRPr="00570190">
        <w:rPr>
          <w:rFonts w:ascii="Times New Roman" w:hAnsi="Times New Roman" w:cs="Times New Roman"/>
          <w:sz w:val="20"/>
          <w:szCs w:val="20"/>
          <w:highlight w:val="lightGray"/>
          <w:lang w:val="nl-NL"/>
        </w:rPr>
        <w:t>. 557.</w:t>
      </w:r>
    </w:p>
  </w:footnote>
  <w:footnote w:id="457">
    <w:p w14:paraId="5EA38BB3" w14:textId="36869899"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Essence</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rapport de l’Organe d’appel, pp. 23 et 24; B. </w:t>
      </w:r>
      <w:r w:rsidRPr="00570190">
        <w:rPr>
          <w:rFonts w:ascii="Times New Roman" w:hAnsi="Times New Roman" w:cs="Times New Roman"/>
          <w:smallCaps/>
          <w:sz w:val="20"/>
          <w:szCs w:val="20"/>
        </w:rPr>
        <w:t xml:space="preserve">Stern, H. Ruiz Fabri, </w:t>
      </w:r>
      <w:r w:rsidRPr="00570190">
        <w:rPr>
          <w:rFonts w:ascii="Times New Roman" w:hAnsi="Times New Roman" w:cs="Times New Roman"/>
          <w:i/>
          <w:sz w:val="20"/>
          <w:szCs w:val="20"/>
        </w:rPr>
        <w:t>The Case-Law of the WTO, La jurisprudence de l’OMC, 1996-1997</w:t>
      </w:r>
      <w:r w:rsidRPr="00570190">
        <w:rPr>
          <w:rFonts w:ascii="Times New Roman" w:hAnsi="Times New Roman" w:cs="Times New Roman"/>
          <w:sz w:val="20"/>
          <w:szCs w:val="20"/>
        </w:rPr>
        <w:t>, p. 14.</w:t>
      </w:r>
    </w:p>
  </w:footnote>
  <w:footnote w:id="458">
    <w:p w14:paraId="2EAD0176" w14:textId="7058BC23" w:rsidR="00C14253" w:rsidRPr="00570190" w:rsidRDefault="00C14253">
      <w:pPr>
        <w:pStyle w:val="Notedebasdepage"/>
        <w:rPr>
          <w:rFonts w:ascii="Times New Roman" w:hAnsi="Times New Roman" w:cs="Times New Roman"/>
          <w:sz w:val="20"/>
          <w:szCs w:val="20"/>
          <w:highlight w:val="lightGray"/>
          <w:lang w:val="nl-NL"/>
        </w:rPr>
      </w:pPr>
      <w:r w:rsidRPr="00570190">
        <w:rPr>
          <w:rStyle w:val="Marquenotebasdepage"/>
          <w:rFonts w:ascii="Times New Roman" w:hAnsi="Times New Roman" w:cs="Times New Roman"/>
          <w:sz w:val="20"/>
          <w:szCs w:val="20"/>
          <w:highlight w:val="lightGray"/>
        </w:rPr>
        <w:footnoteRef/>
      </w:r>
      <w:r w:rsidRPr="00570190">
        <w:rPr>
          <w:rFonts w:ascii="Times New Roman" w:hAnsi="Times New Roman" w:cs="Times New Roman"/>
          <w:i/>
          <w:sz w:val="20"/>
          <w:szCs w:val="20"/>
          <w:highlight w:val="lightGray"/>
        </w:rPr>
        <w:t xml:space="preserve"> Ibid.</w:t>
      </w:r>
      <w:r w:rsidRPr="00570190">
        <w:rPr>
          <w:rFonts w:ascii="Times New Roman" w:hAnsi="Times New Roman" w:cs="Times New Roman"/>
          <w:sz w:val="20"/>
          <w:szCs w:val="20"/>
          <w:highlight w:val="lightGray"/>
          <w:lang w:val="nl-NL"/>
        </w:rPr>
        <w:t xml:space="preserve">, pp. 23 et 24. </w:t>
      </w:r>
    </w:p>
  </w:footnote>
  <w:footnote w:id="459">
    <w:p w14:paraId="17660F9F" w14:textId="6136053A" w:rsidR="00C14253" w:rsidRPr="00570190" w:rsidRDefault="00C14253">
      <w:pPr>
        <w:pStyle w:val="Notedebasdepage"/>
        <w:rPr>
          <w:rFonts w:ascii="Times New Roman" w:hAnsi="Times New Roman" w:cs="Times New Roman"/>
          <w:sz w:val="20"/>
          <w:szCs w:val="20"/>
          <w:highlight w:val="lightGray"/>
          <w:lang w:val="nl-NL"/>
        </w:rPr>
      </w:pPr>
      <w:r w:rsidRPr="00570190">
        <w:rPr>
          <w:rStyle w:val="Marquenotebasdepage"/>
          <w:rFonts w:ascii="Times New Roman" w:hAnsi="Times New Roman" w:cs="Times New Roman"/>
          <w:sz w:val="20"/>
          <w:szCs w:val="20"/>
          <w:highlight w:val="lightGray"/>
        </w:rPr>
        <w:footnoteRef/>
      </w:r>
      <w:r w:rsidRPr="00570190">
        <w:rPr>
          <w:rFonts w:ascii="Times New Roman" w:hAnsi="Times New Roman" w:cs="Times New Roman"/>
          <w:i/>
          <w:sz w:val="20"/>
          <w:szCs w:val="20"/>
          <w:highlight w:val="lightGray"/>
        </w:rPr>
        <w:t xml:space="preserve"> Ibid.</w:t>
      </w:r>
      <w:r w:rsidRPr="00570190">
        <w:rPr>
          <w:rFonts w:ascii="Times New Roman" w:hAnsi="Times New Roman" w:cs="Times New Roman"/>
          <w:sz w:val="20"/>
          <w:szCs w:val="20"/>
          <w:highlight w:val="lightGray"/>
          <w:lang w:val="nl-NL"/>
        </w:rPr>
        <w:t xml:space="preserve">, pp. 23 et 24. </w:t>
      </w:r>
    </w:p>
  </w:footnote>
  <w:footnote w:id="460">
    <w:p w14:paraId="2AE97B81" w14:textId="22D2F7CE" w:rsidR="00C14253" w:rsidRPr="005354AF" w:rsidRDefault="00C14253" w:rsidP="00624F4C">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z w:val="20"/>
          <w:szCs w:val="20"/>
          <w:lang w:val="nl-NL"/>
        </w:rPr>
        <w:t xml:space="preserve"> E. </w:t>
      </w:r>
      <w:r w:rsidRPr="005354AF">
        <w:rPr>
          <w:rFonts w:ascii="Times New Roman" w:hAnsi="Times New Roman" w:cs="Times New Roman"/>
          <w:smallCaps/>
          <w:sz w:val="20"/>
          <w:szCs w:val="20"/>
        </w:rPr>
        <w:t xml:space="preserve">Canal-Forgues, T. Flory, </w:t>
      </w:r>
      <w:r w:rsidRPr="005354AF">
        <w:rPr>
          <w:rFonts w:ascii="Times New Roman" w:hAnsi="Times New Roman" w:cs="Times New Roman"/>
          <w:i/>
          <w:sz w:val="20"/>
          <w:szCs w:val="20"/>
        </w:rPr>
        <w:t>op. cit.</w:t>
      </w:r>
      <w:r w:rsidRPr="005354AF">
        <w:rPr>
          <w:rFonts w:ascii="Times New Roman" w:hAnsi="Times New Roman" w:cs="Times New Roman"/>
          <w:sz w:val="20"/>
          <w:szCs w:val="20"/>
        </w:rPr>
        <w:t xml:space="preserve">, </w:t>
      </w:r>
      <w:r w:rsidRPr="005354AF">
        <w:rPr>
          <w:rFonts w:ascii="Times New Roman" w:hAnsi="Times New Roman" w:cs="Times New Roman"/>
          <w:sz w:val="20"/>
          <w:szCs w:val="20"/>
          <w:lang w:val="nl-NL"/>
        </w:rPr>
        <w:t xml:space="preserve">p. 558 ; </w:t>
      </w:r>
      <w:r w:rsidRPr="005354AF">
        <w:rPr>
          <w:rFonts w:ascii="Times New Roman" w:hAnsi="Times New Roman" w:cs="Times New Roman"/>
          <w:i/>
          <w:sz w:val="20"/>
          <w:szCs w:val="20"/>
          <w:lang w:val="nl-NL"/>
        </w:rPr>
        <w:t>Essence</w:t>
      </w:r>
      <w:r w:rsidRPr="005354AF">
        <w:rPr>
          <w:rFonts w:ascii="Times New Roman" w:hAnsi="Times New Roman" w:cs="Times New Roman"/>
          <w:sz w:val="20"/>
          <w:szCs w:val="20"/>
          <w:lang w:val="nl-NL"/>
        </w:rPr>
        <w:t xml:space="preserve">, rapport de l’Organe d’appel, pp. 23-24. </w:t>
      </w:r>
    </w:p>
  </w:footnote>
  <w:footnote w:id="461">
    <w:p w14:paraId="5A33BCA8" w14:textId="577260E2" w:rsidR="00C14253" w:rsidRPr="005354AF" w:rsidRDefault="00C14253" w:rsidP="00624F4C">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i/>
          <w:sz w:val="20"/>
          <w:szCs w:val="20"/>
        </w:rPr>
        <w:t xml:space="preserve"> Ibid.</w:t>
      </w:r>
      <w:r w:rsidRPr="005354AF">
        <w:rPr>
          <w:rFonts w:ascii="Times New Roman" w:hAnsi="Times New Roman" w:cs="Times New Roman"/>
          <w:sz w:val="20"/>
          <w:szCs w:val="20"/>
          <w:lang w:val="nl-NL"/>
        </w:rPr>
        <w:t xml:space="preserve">, pp. 23 et 24. </w:t>
      </w:r>
    </w:p>
  </w:footnote>
  <w:footnote w:id="462">
    <w:p w14:paraId="28360462" w14:textId="77777777" w:rsidR="00C14253" w:rsidRPr="005354AF" w:rsidRDefault="00C14253" w:rsidP="003A3733">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i/>
          <w:sz w:val="20"/>
          <w:szCs w:val="20"/>
          <w:lang w:val="nl-NL"/>
        </w:rPr>
        <w:t xml:space="preserve"> Ibid.</w:t>
      </w:r>
      <w:r w:rsidRPr="005354AF">
        <w:rPr>
          <w:rFonts w:ascii="Times New Roman" w:hAnsi="Times New Roman" w:cs="Times New Roman"/>
          <w:sz w:val="20"/>
          <w:szCs w:val="20"/>
          <w:lang w:val="nl-NL"/>
        </w:rPr>
        <w:t>, §§ 143 à 145.</w:t>
      </w:r>
    </w:p>
  </w:footnote>
  <w:footnote w:id="463">
    <w:p w14:paraId="3B52F7BF" w14:textId="77777777" w:rsidR="00C14253" w:rsidRPr="005354AF" w:rsidRDefault="00C14253" w:rsidP="003A3733">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i/>
          <w:sz w:val="20"/>
          <w:szCs w:val="20"/>
          <w:lang w:val="nl-NL"/>
        </w:rPr>
        <w:t xml:space="preserve"> Ibid.</w:t>
      </w:r>
      <w:r w:rsidRPr="005354AF">
        <w:rPr>
          <w:rFonts w:ascii="Times New Roman" w:hAnsi="Times New Roman" w:cs="Times New Roman"/>
          <w:sz w:val="20"/>
          <w:szCs w:val="20"/>
          <w:lang w:val="nl-NL"/>
        </w:rPr>
        <w:t xml:space="preserve">, §§ 143 à 145; H. </w:t>
      </w:r>
      <w:r w:rsidRPr="005354AF">
        <w:rPr>
          <w:rFonts w:ascii="Times New Roman" w:hAnsi="Times New Roman" w:cs="Times New Roman"/>
          <w:smallCaps/>
          <w:sz w:val="20"/>
          <w:szCs w:val="20"/>
        </w:rPr>
        <w:t>Jackson John, H.</w:t>
      </w:r>
      <w:r w:rsidRPr="005354AF">
        <w:rPr>
          <w:rFonts w:ascii="Times New Roman" w:hAnsi="Times New Roman" w:cs="Times New Roman"/>
          <w:sz w:val="20"/>
          <w:szCs w:val="20"/>
        </w:rPr>
        <w:t xml:space="preserve">, </w:t>
      </w:r>
      <w:r w:rsidRPr="005354AF">
        <w:rPr>
          <w:rFonts w:ascii="Times New Roman" w:hAnsi="Times New Roman" w:cs="Times New Roman"/>
          <w:i/>
          <w:sz w:val="20"/>
          <w:szCs w:val="20"/>
        </w:rPr>
        <w:t>op. cit.</w:t>
      </w:r>
      <w:r w:rsidRPr="005354AF">
        <w:rPr>
          <w:rFonts w:ascii="Times New Roman" w:hAnsi="Times New Roman" w:cs="Times New Roman"/>
          <w:sz w:val="20"/>
          <w:szCs w:val="20"/>
        </w:rPr>
        <w:t>, pp. 309-310.</w:t>
      </w:r>
    </w:p>
  </w:footnote>
  <w:footnote w:id="464">
    <w:p w14:paraId="78F7338C" w14:textId="77777777" w:rsidR="00C14253" w:rsidRPr="005354AF" w:rsidRDefault="00C14253" w:rsidP="003A3733">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i/>
          <w:sz w:val="20"/>
          <w:szCs w:val="20"/>
          <w:lang w:val="nl-NL"/>
        </w:rPr>
        <w:t xml:space="preserve"> Ibid.</w:t>
      </w:r>
      <w:r w:rsidRPr="005354AF">
        <w:rPr>
          <w:rFonts w:ascii="Times New Roman" w:hAnsi="Times New Roman" w:cs="Times New Roman"/>
          <w:sz w:val="20"/>
          <w:szCs w:val="20"/>
          <w:lang w:val="nl-NL"/>
        </w:rPr>
        <w:t>, §§ 143 à 145.</w:t>
      </w:r>
    </w:p>
  </w:footnote>
  <w:footnote w:id="465">
    <w:p w14:paraId="3E8187E8" w14:textId="77777777" w:rsidR="00C14253" w:rsidRPr="005354AF" w:rsidRDefault="00C14253" w:rsidP="003A3733">
      <w:pPr>
        <w:pStyle w:val="Notedebasdepage"/>
        <w:jc w:val="both"/>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i/>
          <w:sz w:val="20"/>
          <w:szCs w:val="20"/>
          <w:lang w:val="nl-NL"/>
        </w:rPr>
        <w:t xml:space="preserve"> Ibid.</w:t>
      </w:r>
      <w:r w:rsidRPr="005354AF">
        <w:rPr>
          <w:rFonts w:ascii="Times New Roman" w:hAnsi="Times New Roman" w:cs="Times New Roman"/>
          <w:sz w:val="20"/>
          <w:szCs w:val="20"/>
          <w:lang w:val="nl-NL"/>
        </w:rPr>
        <w:t xml:space="preserve">, §§ 143 à 145; </w:t>
      </w:r>
      <w:r w:rsidRPr="005354AF">
        <w:rPr>
          <w:rFonts w:ascii="Times New Roman" w:hAnsi="Times New Roman" w:cs="Times New Roman"/>
          <w:smallCaps/>
          <w:sz w:val="20"/>
          <w:szCs w:val="20"/>
        </w:rPr>
        <w:t>S</w:t>
      </w:r>
      <w:r w:rsidRPr="005354AF">
        <w:rPr>
          <w:rFonts w:ascii="Times New Roman" w:hAnsi="Times New Roman" w:cs="Times New Roman"/>
          <w:sz w:val="20"/>
          <w:szCs w:val="20"/>
        </w:rPr>
        <w:t xml:space="preserve">. </w:t>
      </w:r>
      <w:r w:rsidRPr="005354AF">
        <w:rPr>
          <w:rFonts w:ascii="Times New Roman" w:hAnsi="Times New Roman" w:cs="Times New Roman"/>
          <w:smallCaps/>
          <w:sz w:val="20"/>
          <w:szCs w:val="20"/>
        </w:rPr>
        <w:t xml:space="preserve">Zlepting, </w:t>
      </w:r>
      <w:r w:rsidRPr="005354AF">
        <w:rPr>
          <w:rFonts w:ascii="Times New Roman" w:hAnsi="Times New Roman" w:cs="Times New Roman"/>
          <w:i/>
          <w:sz w:val="20"/>
          <w:szCs w:val="20"/>
          <w:lang w:val="nl-NL"/>
        </w:rPr>
        <w:t xml:space="preserve">op. cit., </w:t>
      </w:r>
      <w:r w:rsidRPr="005354AF">
        <w:rPr>
          <w:rFonts w:ascii="Times New Roman" w:hAnsi="Times New Roman" w:cs="Times New Roman"/>
          <w:sz w:val="20"/>
          <w:szCs w:val="20"/>
          <w:lang w:val="nl-NL"/>
        </w:rPr>
        <w:t>pp. 467.</w:t>
      </w:r>
    </w:p>
  </w:footnote>
  <w:footnote w:id="466">
    <w:p w14:paraId="556984BF" w14:textId="21333AF7" w:rsidR="00C14253" w:rsidRPr="00570190" w:rsidRDefault="00C14253">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z w:val="20"/>
          <w:szCs w:val="20"/>
        </w:rPr>
        <w:t xml:space="preserve"> </w:t>
      </w:r>
      <w:r w:rsidRPr="005354AF">
        <w:rPr>
          <w:rFonts w:ascii="Times New Roman" w:hAnsi="Times New Roman" w:cs="Times New Roman"/>
          <w:smallCaps/>
          <w:sz w:val="20"/>
          <w:szCs w:val="20"/>
          <w:lang w:val="nl-NL"/>
        </w:rPr>
        <w:t>M. Prost</w:t>
      </w:r>
      <w:r w:rsidRPr="005354AF">
        <w:rPr>
          <w:rFonts w:ascii="Times New Roman" w:hAnsi="Times New Roman" w:cs="Times New Roman"/>
          <w:sz w:val="20"/>
          <w:szCs w:val="20"/>
          <w:lang w:val="nl-NL"/>
        </w:rPr>
        <w:t xml:space="preserve">, </w:t>
      </w:r>
      <w:r w:rsidRPr="005354AF">
        <w:rPr>
          <w:rFonts w:ascii="Times New Roman" w:hAnsi="Times New Roman" w:cs="Times New Roman"/>
          <w:i/>
          <w:sz w:val="20"/>
          <w:szCs w:val="20"/>
          <w:lang w:val="nl-NL"/>
        </w:rPr>
        <w:t>op. cit.</w:t>
      </w:r>
      <w:r w:rsidRPr="005354AF">
        <w:rPr>
          <w:rFonts w:ascii="Times New Roman" w:hAnsi="Times New Roman" w:cs="Times New Roman"/>
          <w:sz w:val="20"/>
          <w:szCs w:val="20"/>
          <w:lang w:val="nl-NL"/>
        </w:rPr>
        <w:t>, p. 44.</w:t>
      </w:r>
    </w:p>
  </w:footnote>
  <w:footnote w:id="467">
    <w:p w14:paraId="248972EA" w14:textId="4569C90E"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lang w:val="nl-NL"/>
        </w:rPr>
        <w:t xml:space="preserve"> Thon II</w:t>
      </w:r>
      <w:r w:rsidRPr="00570190">
        <w:rPr>
          <w:rFonts w:ascii="Times New Roman" w:hAnsi="Times New Roman" w:cs="Times New Roman"/>
          <w:sz w:val="20"/>
          <w:szCs w:val="20"/>
          <w:lang w:val="nl-NL"/>
        </w:rPr>
        <w:t>, rapport du Groupe spécial, § 5.15.</w:t>
      </w:r>
    </w:p>
  </w:footnote>
  <w:footnote w:id="468">
    <w:p w14:paraId="53785CF0" w14:textId="06530830" w:rsidR="00C14253" w:rsidRPr="00570190" w:rsidRDefault="00C14253">
      <w:pPr>
        <w:pStyle w:val="Notedebasdepage"/>
        <w:rPr>
          <w:rFonts w:ascii="Times New Roman" w:hAnsi="Times New Roman" w:cs="Times New Roman"/>
          <w:i/>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lang w:val="nl-NL"/>
        </w:rPr>
        <w:t xml:space="preserve"> Ibid.</w:t>
      </w:r>
      <w:r w:rsidRPr="00570190">
        <w:rPr>
          <w:rFonts w:ascii="Times New Roman" w:hAnsi="Times New Roman" w:cs="Times New Roman"/>
          <w:sz w:val="20"/>
          <w:szCs w:val="20"/>
          <w:lang w:val="nl-NL"/>
        </w:rPr>
        <w:t>, § 5.15.</w:t>
      </w:r>
    </w:p>
  </w:footnote>
  <w:footnote w:id="469">
    <w:p w14:paraId="1B4B06B3" w14:textId="60ADAED9" w:rsidR="00C14253" w:rsidRPr="00570190" w:rsidRDefault="00C14253" w:rsidP="00624F4C">
      <w:pPr>
        <w:pStyle w:val="Notedebasdepage"/>
        <w:rPr>
          <w:rFonts w:ascii="Times New Roman" w:hAnsi="Times New Roman" w:cs="Times New Roman"/>
          <w:i/>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lang w:val="nl-NL"/>
        </w:rPr>
        <w:t xml:space="preserve"> Ibid.</w:t>
      </w:r>
      <w:r w:rsidRPr="00570190">
        <w:rPr>
          <w:rFonts w:ascii="Times New Roman" w:hAnsi="Times New Roman" w:cs="Times New Roman"/>
          <w:sz w:val="20"/>
          <w:szCs w:val="20"/>
          <w:lang w:val="nl-NL"/>
        </w:rPr>
        <w:t>, § 5.15.</w:t>
      </w:r>
    </w:p>
  </w:footnote>
  <w:footnote w:id="470">
    <w:p w14:paraId="284CB8ED" w14:textId="0219A9E1" w:rsidR="00C14253" w:rsidRPr="00570190" w:rsidRDefault="00C14253" w:rsidP="00624F4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lang w:val="nl-NL"/>
        </w:rPr>
        <w:t xml:space="preserve"> Ibid.</w:t>
      </w:r>
      <w:r w:rsidRPr="00570190">
        <w:rPr>
          <w:rFonts w:ascii="Times New Roman" w:hAnsi="Times New Roman" w:cs="Times New Roman"/>
          <w:sz w:val="20"/>
          <w:szCs w:val="20"/>
          <w:lang w:val="nl-NL"/>
        </w:rPr>
        <w:t xml:space="preserve">, § 5.16; ”Pratique du GATT/de l’OMC”,  </w:t>
      </w:r>
      <w:r w:rsidRPr="00570190">
        <w:rPr>
          <w:rFonts w:ascii="Times New Roman" w:hAnsi="Times New Roman" w:cs="Times New Roman"/>
          <w:sz w:val="20"/>
          <w:szCs w:val="20"/>
        </w:rPr>
        <w:t xml:space="preserve">p. 29. </w:t>
      </w:r>
    </w:p>
  </w:footnote>
  <w:footnote w:id="471">
    <w:p w14:paraId="225F22E8" w14:textId="6F4AE165" w:rsidR="00C14253" w:rsidRPr="00570190" w:rsidRDefault="00C14253" w:rsidP="00624F4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Thon II</w:t>
      </w:r>
      <w:r w:rsidRPr="00570190">
        <w:rPr>
          <w:rFonts w:ascii="Times New Roman" w:hAnsi="Times New Roman" w:cs="Times New Roman"/>
          <w:sz w:val="20"/>
          <w:szCs w:val="20"/>
          <w:lang w:val="nl-NL"/>
        </w:rPr>
        <w:t xml:space="preserve">, rapport du Groupe spécial, § 5.16; ”Pratique du GATT/de l’OMC”,  </w:t>
      </w:r>
      <w:r w:rsidRPr="00570190">
        <w:rPr>
          <w:rFonts w:ascii="Times New Roman" w:hAnsi="Times New Roman" w:cs="Times New Roman"/>
          <w:sz w:val="20"/>
          <w:szCs w:val="20"/>
        </w:rPr>
        <w:t xml:space="preserve">p. 29. </w:t>
      </w:r>
    </w:p>
  </w:footnote>
  <w:footnote w:id="472">
    <w:p w14:paraId="36CAEAB6" w14:textId="6FDC2DC6" w:rsidR="00C14253" w:rsidRPr="00570190" w:rsidRDefault="00C14253" w:rsidP="00624F4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Thon II</w:t>
      </w:r>
      <w:r w:rsidRPr="00570190">
        <w:rPr>
          <w:rFonts w:ascii="Times New Roman" w:hAnsi="Times New Roman" w:cs="Times New Roman"/>
          <w:sz w:val="20"/>
          <w:szCs w:val="20"/>
          <w:lang w:val="nl-NL"/>
        </w:rPr>
        <w:t>, rapport du Groupe spécial, § 5.17.</w:t>
      </w:r>
    </w:p>
  </w:footnote>
  <w:footnote w:id="473">
    <w:p w14:paraId="219B0616" w14:textId="2FB485B2" w:rsidR="00C14253" w:rsidRPr="00570190" w:rsidRDefault="00C14253" w:rsidP="00624F4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w:t>
      </w:r>
      <w:r w:rsidRPr="00570190">
        <w:rPr>
          <w:rFonts w:ascii="Times New Roman" w:hAnsi="Times New Roman" w:cs="Times New Roman"/>
          <w:sz w:val="20"/>
          <w:szCs w:val="20"/>
        </w:rPr>
        <w:t xml:space="preserve"> § 5.17 ; </w:t>
      </w:r>
      <w:r w:rsidRPr="00570190">
        <w:rPr>
          <w:rFonts w:ascii="Times New Roman" w:hAnsi="Times New Roman" w:cs="Times New Roman"/>
          <w:sz w:val="20"/>
          <w:szCs w:val="20"/>
          <w:lang w:val="nl-NL"/>
        </w:rPr>
        <w:t>”Pratique du GATT/de l’OMC”, p. 29.</w:t>
      </w:r>
    </w:p>
  </w:footnote>
  <w:footnote w:id="474">
    <w:p w14:paraId="534535C9" w14:textId="2186645D" w:rsidR="00C14253" w:rsidRPr="00570190" w:rsidRDefault="00C14253" w:rsidP="00624F4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Thon II</w:t>
      </w:r>
      <w:r w:rsidRPr="00570190">
        <w:rPr>
          <w:rFonts w:ascii="Times New Roman" w:hAnsi="Times New Roman" w:cs="Times New Roman"/>
          <w:sz w:val="20"/>
          <w:szCs w:val="20"/>
        </w:rPr>
        <w:t xml:space="preserve">, rapport du Groupe spécial, § 5.17 ; </w:t>
      </w:r>
      <w:r w:rsidRPr="00570190">
        <w:rPr>
          <w:rFonts w:ascii="Times New Roman" w:hAnsi="Times New Roman" w:cs="Times New Roman"/>
          <w:sz w:val="20"/>
          <w:szCs w:val="20"/>
          <w:lang w:val="nl-NL"/>
        </w:rPr>
        <w:t>”Pratique du GATT/de l’OMC”, p. 29.</w:t>
      </w:r>
    </w:p>
  </w:footnote>
  <w:footnote w:id="475">
    <w:p w14:paraId="212D37EA" w14:textId="3BC50A98" w:rsidR="00C14253" w:rsidRPr="00570190" w:rsidRDefault="00C14253" w:rsidP="00624F4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highlight w:val="lightGray"/>
          <w:lang w:val="nl-NL"/>
        </w:rPr>
        <w:t>Convention de Vienne sur le droit des traités,</w:t>
      </w:r>
      <w:r w:rsidRPr="00570190">
        <w:rPr>
          <w:rFonts w:ascii="Times New Roman" w:hAnsi="Times New Roman" w:cs="Times New Roman"/>
          <w:sz w:val="20"/>
          <w:szCs w:val="20"/>
          <w:lang w:val="nl-NL"/>
        </w:rPr>
        <w:t xml:space="preserve"> </w:t>
      </w:r>
    </w:p>
  </w:footnote>
  <w:footnote w:id="476">
    <w:p w14:paraId="4794E5AA" w14:textId="212B0F16"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Thon II</w:t>
      </w:r>
      <w:r w:rsidRPr="00570190">
        <w:rPr>
          <w:rFonts w:ascii="Times New Roman" w:hAnsi="Times New Roman" w:cs="Times New Roman"/>
          <w:sz w:val="20"/>
          <w:szCs w:val="20"/>
          <w:lang w:val="nl-NL"/>
        </w:rPr>
        <w:t>, rapport du Groupe spécial, § 5.19; ”Pratique du GATT/de l’OMC”, p. 30.</w:t>
      </w:r>
    </w:p>
  </w:footnote>
  <w:footnote w:id="477">
    <w:p w14:paraId="5EC6C1F4" w14:textId="5A8AD938" w:rsidR="00C14253" w:rsidRPr="00570190" w:rsidRDefault="00C14253" w:rsidP="00624F4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Thon II</w:t>
      </w:r>
      <w:r w:rsidRPr="00570190">
        <w:rPr>
          <w:rFonts w:ascii="Times New Roman" w:hAnsi="Times New Roman" w:cs="Times New Roman"/>
          <w:sz w:val="20"/>
          <w:szCs w:val="20"/>
          <w:lang w:val="nl-NL"/>
        </w:rPr>
        <w:t>, rapport du Groupe spécial, § 5.19.</w:t>
      </w:r>
    </w:p>
  </w:footnote>
  <w:footnote w:id="478">
    <w:p w14:paraId="3B3D73D0" w14:textId="10CDE8EC"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5.20.</w:t>
      </w:r>
    </w:p>
  </w:footnote>
  <w:footnote w:id="479">
    <w:p w14:paraId="76E1D235" w14:textId="17229A57"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 xml:space="preserve">Ibid., </w:t>
      </w:r>
      <w:r w:rsidRPr="00570190">
        <w:rPr>
          <w:rFonts w:ascii="Times New Roman" w:hAnsi="Times New Roman" w:cs="Times New Roman"/>
          <w:sz w:val="20"/>
          <w:szCs w:val="20"/>
          <w:lang w:val="nl-NL"/>
        </w:rPr>
        <w:t>§ 5.20.</w:t>
      </w:r>
    </w:p>
  </w:footnote>
  <w:footnote w:id="480">
    <w:p w14:paraId="36B6D7A1" w14:textId="1BF44359"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highlight w:val="lightGray"/>
        </w:rPr>
        <w:footnoteRef/>
      </w:r>
      <w:r w:rsidRPr="00570190">
        <w:rPr>
          <w:rFonts w:ascii="Times New Roman" w:hAnsi="Times New Roman" w:cs="Times New Roman"/>
          <w:sz w:val="20"/>
          <w:szCs w:val="20"/>
          <w:highlight w:val="lightGray"/>
        </w:rPr>
        <w:t xml:space="preserve"> Note : comme mentionné précédemment pour l’article XX </w:t>
      </w:r>
      <w:r w:rsidRPr="00570190">
        <w:rPr>
          <w:rFonts w:ascii="Times New Roman" w:hAnsi="Times New Roman" w:cs="Times New Roman"/>
          <w:i/>
          <w:sz w:val="20"/>
          <w:szCs w:val="20"/>
          <w:highlight w:val="lightGray"/>
        </w:rPr>
        <w:t>b)</w:t>
      </w:r>
    </w:p>
  </w:footnote>
  <w:footnote w:id="481">
    <w:p w14:paraId="1AFBF927" w14:textId="17F73B32"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xml:space="preserve"> § 5.20.</w:t>
      </w:r>
    </w:p>
  </w:footnote>
  <w:footnote w:id="482">
    <w:p w14:paraId="69D32614" w14:textId="2FB0D4B9" w:rsidR="00C14253" w:rsidRPr="00570190" w:rsidRDefault="00C14253" w:rsidP="007513BD">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xml:space="preserve"> § 5.20.</w:t>
      </w:r>
    </w:p>
  </w:footnote>
  <w:footnote w:id="483">
    <w:p w14:paraId="635F6C9B" w14:textId="6418A4E3"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Thon I</w:t>
      </w:r>
      <w:r w:rsidRPr="00570190">
        <w:rPr>
          <w:rFonts w:ascii="Times New Roman" w:hAnsi="Times New Roman" w:cs="Times New Roman"/>
          <w:sz w:val="20"/>
          <w:szCs w:val="20"/>
          <w:lang w:val="nl-NL"/>
        </w:rPr>
        <w:t>, rapport du Groupe spécial, §§ 5.25 et 5.26.</w:t>
      </w:r>
    </w:p>
  </w:footnote>
  <w:footnote w:id="484">
    <w:p w14:paraId="7BD7179F" w14:textId="207A7B26" w:rsidR="00C14253" w:rsidRPr="00570190" w:rsidRDefault="00C14253" w:rsidP="00624F4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Thon II</w:t>
      </w:r>
      <w:r w:rsidRPr="00570190">
        <w:rPr>
          <w:rFonts w:ascii="Times New Roman" w:hAnsi="Times New Roman" w:cs="Times New Roman"/>
          <w:sz w:val="20"/>
          <w:szCs w:val="20"/>
          <w:lang w:val="nl-NL"/>
        </w:rPr>
        <w:t>, rapport du Groupe spécial, § 5.21.</w:t>
      </w:r>
    </w:p>
  </w:footnote>
  <w:footnote w:id="485">
    <w:p w14:paraId="6E2F0468" w14:textId="2DDD84D7"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 5.24.</w:t>
      </w:r>
    </w:p>
  </w:footnote>
  <w:footnote w:id="486">
    <w:p w14:paraId="638FB81E" w14:textId="65BA22F5"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 5.25.</w:t>
      </w:r>
    </w:p>
  </w:footnote>
  <w:footnote w:id="487">
    <w:p w14:paraId="05B22FB8" w14:textId="586797B5" w:rsidR="00C14253" w:rsidRPr="00570190" w:rsidRDefault="00C14253" w:rsidP="00624F4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 5.26 et 5.27.</w:t>
      </w:r>
    </w:p>
  </w:footnote>
  <w:footnote w:id="488">
    <w:p w14:paraId="1FDD4A30" w14:textId="78E7A96A" w:rsidR="00C14253" w:rsidRPr="00570190" w:rsidRDefault="00C14253" w:rsidP="00624F4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 5.26 et 5.27. </w:t>
      </w:r>
    </w:p>
  </w:footnote>
  <w:footnote w:id="489">
    <w:p w14:paraId="77B0BE93" w14:textId="3DB9D643"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”Pratique du GATT/de l’OMC”,  p. 31.</w:t>
      </w:r>
    </w:p>
  </w:footnote>
  <w:footnote w:id="490">
    <w:p w14:paraId="28BAAA9D" w14:textId="2A9EACAC" w:rsidR="00C14253" w:rsidRPr="005354AF" w:rsidRDefault="00C14253">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z w:val="20"/>
          <w:szCs w:val="20"/>
        </w:rPr>
        <w:t xml:space="preserve"> </w:t>
      </w:r>
      <w:r w:rsidRPr="005354AF">
        <w:rPr>
          <w:rFonts w:ascii="Times New Roman" w:hAnsi="Times New Roman" w:cs="Times New Roman"/>
          <w:i/>
          <w:sz w:val="20"/>
          <w:szCs w:val="20"/>
          <w:lang w:val="nl-NL"/>
        </w:rPr>
        <w:t>Thon II</w:t>
      </w:r>
      <w:r w:rsidRPr="005354AF">
        <w:rPr>
          <w:rFonts w:ascii="Times New Roman" w:hAnsi="Times New Roman" w:cs="Times New Roman"/>
          <w:sz w:val="20"/>
          <w:szCs w:val="20"/>
          <w:lang w:val="nl-NL"/>
        </w:rPr>
        <w:t>, rapport du Groupe spécial, § 5.27.</w:t>
      </w:r>
    </w:p>
  </w:footnote>
  <w:footnote w:id="491">
    <w:p w14:paraId="665C6804" w14:textId="24B9D35F" w:rsidR="00C14253" w:rsidRPr="005354AF" w:rsidRDefault="00C14253" w:rsidP="00510A26">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z w:val="20"/>
          <w:szCs w:val="20"/>
          <w:lang w:val="nl-NL"/>
        </w:rPr>
        <w:t xml:space="preserve"> </w:t>
      </w:r>
      <w:r w:rsidRPr="005354AF">
        <w:rPr>
          <w:rFonts w:ascii="Times New Roman" w:hAnsi="Times New Roman" w:cs="Times New Roman"/>
          <w:i/>
          <w:sz w:val="20"/>
          <w:szCs w:val="20"/>
        </w:rPr>
        <w:t>Ibid</w:t>
      </w:r>
      <w:r w:rsidRPr="005354AF">
        <w:rPr>
          <w:rFonts w:ascii="Times New Roman" w:hAnsi="Times New Roman" w:cs="Times New Roman"/>
          <w:sz w:val="20"/>
          <w:szCs w:val="20"/>
        </w:rPr>
        <w:t>., § 5.27.</w:t>
      </w:r>
    </w:p>
  </w:footnote>
  <w:footnote w:id="492">
    <w:p w14:paraId="7B731C6A" w14:textId="2A6BC42C" w:rsidR="00C14253" w:rsidRPr="005354AF" w:rsidRDefault="00C14253" w:rsidP="00126F69">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hyperlink r:id="rId7" w:history="1">
        <w:r w:rsidRPr="005354AF">
          <w:rPr>
            <w:rStyle w:val="Lienhypertexte"/>
            <w:rFonts w:ascii="Times New Roman" w:hAnsi="Times New Roman" w:cs="Times New Roman"/>
            <w:color w:val="auto"/>
            <w:sz w:val="20"/>
            <w:szCs w:val="20"/>
            <w:u w:val="none"/>
          </w:rPr>
          <w:t>https://www.wto.org/french/tratop_f/dispu_f/cases_f/ds26_f.htm</w:t>
        </w:r>
      </w:hyperlink>
      <w:r w:rsidRPr="005354AF">
        <w:rPr>
          <w:rFonts w:ascii="Times New Roman" w:hAnsi="Times New Roman" w:cs="Times New Roman"/>
          <w:sz w:val="20"/>
          <w:szCs w:val="20"/>
        </w:rPr>
        <w:t>;</w:t>
      </w:r>
      <w:hyperlink r:id="rId8" w:history="1">
        <w:r w:rsidRPr="005354AF">
          <w:rPr>
            <w:rStyle w:val="Lienhypertexte"/>
            <w:rFonts w:ascii="Times New Roman" w:hAnsi="Times New Roman" w:cs="Times New Roman"/>
            <w:color w:val="auto"/>
            <w:sz w:val="20"/>
            <w:szCs w:val="20"/>
            <w:u w:val="none"/>
          </w:rPr>
          <w:t>https://www.wto.org/french/tratop_f/dispu_f/cases_f/ds48_f.htm</w:t>
        </w:r>
      </w:hyperlink>
      <w:r w:rsidRPr="005354AF">
        <w:rPr>
          <w:rFonts w:ascii="Times New Roman" w:hAnsi="Times New Roman" w:cs="Times New Roman"/>
          <w:sz w:val="20"/>
          <w:szCs w:val="20"/>
        </w:rPr>
        <w:t xml:space="preserve">; S. </w:t>
      </w:r>
      <w:r w:rsidRPr="005354AF">
        <w:rPr>
          <w:rFonts w:ascii="Times New Roman" w:hAnsi="Times New Roman" w:cs="Times New Roman"/>
          <w:smallCaps/>
          <w:sz w:val="20"/>
          <w:szCs w:val="20"/>
        </w:rPr>
        <w:t>Maljean-Dubois,</w:t>
      </w:r>
      <w:r w:rsidRPr="005354AF">
        <w:rPr>
          <w:rFonts w:ascii="Times New Roman" w:hAnsi="Times New Roman" w:cs="Times New Roman"/>
          <w:sz w:val="20"/>
          <w:szCs w:val="20"/>
        </w:rPr>
        <w:t xml:space="preserve"> </w:t>
      </w:r>
      <w:r w:rsidRPr="005354AF">
        <w:rPr>
          <w:rFonts w:ascii="Times New Roman" w:hAnsi="Times New Roman" w:cs="Times New Roman"/>
          <w:i/>
          <w:sz w:val="20"/>
          <w:szCs w:val="20"/>
        </w:rPr>
        <w:t>op. cit.</w:t>
      </w:r>
      <w:r w:rsidRPr="005354AF">
        <w:rPr>
          <w:rFonts w:ascii="Times New Roman" w:hAnsi="Times New Roman" w:cs="Times New Roman"/>
          <w:sz w:val="20"/>
          <w:szCs w:val="20"/>
        </w:rPr>
        <w:t>, p. 392.</w:t>
      </w:r>
    </w:p>
  </w:footnote>
  <w:footnote w:id="493">
    <w:p w14:paraId="0A160BDE" w14:textId="0AD81204" w:rsidR="00C14253" w:rsidRPr="005354AF" w:rsidRDefault="00C14253" w:rsidP="00EF6DD4">
      <w:pPr>
        <w:jc w:val="both"/>
        <w:rPr>
          <w:rFonts w:ascii="Times New Roman" w:hAnsi="Times New Roman" w:cs="Times New Roman"/>
          <w:sz w:val="20"/>
          <w:szCs w:val="20"/>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z w:val="20"/>
          <w:szCs w:val="20"/>
        </w:rPr>
        <w:t xml:space="preserve"> J. </w:t>
      </w:r>
      <w:r w:rsidRPr="005354AF">
        <w:rPr>
          <w:rFonts w:ascii="Times New Roman" w:hAnsi="Times New Roman" w:cs="Times New Roman"/>
          <w:smallCaps/>
          <w:sz w:val="20"/>
          <w:szCs w:val="20"/>
        </w:rPr>
        <w:t>Cazala</w:t>
      </w:r>
      <w:r w:rsidRPr="005354AF">
        <w:rPr>
          <w:rFonts w:ascii="Times New Roman" w:hAnsi="Times New Roman" w:cs="Times New Roman"/>
          <w:sz w:val="20"/>
          <w:szCs w:val="20"/>
        </w:rPr>
        <w:t>, « Le principe de précaution en droit international », Bibliothèque de l’institut des hautes études internationales de Paris, Collection dirigée par Jean Combacau</w:t>
      </w:r>
      <w:r w:rsidRPr="005354AF">
        <w:rPr>
          <w:rFonts w:ascii="Times New Roman" w:hAnsi="Times New Roman" w:cs="Times New Roman"/>
          <w:smallCaps/>
          <w:sz w:val="20"/>
          <w:szCs w:val="20"/>
        </w:rPr>
        <w:t>, Joe Verhoeven</w:t>
      </w:r>
      <w:r w:rsidRPr="005354AF">
        <w:rPr>
          <w:rFonts w:ascii="Times New Roman" w:hAnsi="Times New Roman" w:cs="Times New Roman"/>
          <w:sz w:val="20"/>
          <w:szCs w:val="20"/>
        </w:rPr>
        <w:t xml:space="preserve">, Anthémis, 2006, </w:t>
      </w:r>
      <w:r w:rsidRPr="005354AF">
        <w:rPr>
          <w:rFonts w:ascii="Times New Roman" w:hAnsi="Times New Roman" w:cs="Times New Roman"/>
          <w:sz w:val="20"/>
          <w:szCs w:val="20"/>
          <w:lang w:val="nl-NL"/>
        </w:rPr>
        <w:t xml:space="preserve">p. 209 ; H. </w:t>
      </w:r>
      <w:r w:rsidRPr="005354AF">
        <w:rPr>
          <w:rFonts w:ascii="Times New Roman" w:hAnsi="Times New Roman" w:cs="Times New Roman"/>
          <w:smallCaps/>
          <w:sz w:val="20"/>
          <w:szCs w:val="20"/>
        </w:rPr>
        <w:t>Jackson John, H.</w:t>
      </w:r>
      <w:r w:rsidRPr="005354AF">
        <w:rPr>
          <w:rFonts w:ascii="Times New Roman" w:hAnsi="Times New Roman" w:cs="Times New Roman"/>
          <w:sz w:val="20"/>
          <w:szCs w:val="20"/>
        </w:rPr>
        <w:t xml:space="preserve">,  </w:t>
      </w:r>
      <w:r w:rsidRPr="005354AF">
        <w:rPr>
          <w:rFonts w:ascii="Times New Roman" w:hAnsi="Times New Roman" w:cs="Times New Roman"/>
          <w:i/>
          <w:sz w:val="20"/>
          <w:szCs w:val="20"/>
        </w:rPr>
        <w:t>op. cit.</w:t>
      </w:r>
      <w:r w:rsidRPr="005354AF">
        <w:rPr>
          <w:rFonts w:ascii="Times New Roman" w:hAnsi="Times New Roman" w:cs="Times New Roman"/>
          <w:sz w:val="20"/>
          <w:szCs w:val="20"/>
        </w:rPr>
        <w:t>, 328.</w:t>
      </w:r>
    </w:p>
  </w:footnote>
  <w:footnote w:id="494">
    <w:p w14:paraId="0AD1F2C8" w14:textId="6B036779" w:rsidR="00C14253" w:rsidRPr="005354AF" w:rsidRDefault="00C14253" w:rsidP="00EF6DD4">
      <w:pPr>
        <w:jc w:val="both"/>
        <w:rPr>
          <w:rFonts w:ascii="Times New Roman" w:hAnsi="Times New Roman" w:cs="Times New Roman"/>
          <w:sz w:val="20"/>
          <w:szCs w:val="20"/>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mallCaps/>
          <w:sz w:val="20"/>
          <w:szCs w:val="20"/>
        </w:rPr>
        <w:t>B. Stern, H. Ruiz Fabri,</w:t>
      </w:r>
      <w:r w:rsidRPr="005354AF">
        <w:rPr>
          <w:rFonts w:ascii="Times New Roman" w:hAnsi="Times New Roman" w:cs="Times New Roman"/>
          <w:sz w:val="20"/>
          <w:szCs w:val="20"/>
        </w:rPr>
        <w:t xml:space="preserve"> </w:t>
      </w:r>
      <w:r w:rsidRPr="005354AF">
        <w:rPr>
          <w:rFonts w:ascii="Times New Roman" w:hAnsi="Times New Roman" w:cs="Times New Roman"/>
          <w:i/>
          <w:sz w:val="20"/>
          <w:szCs w:val="20"/>
        </w:rPr>
        <w:t>The Case-Law of the WTO, La jurisprudence de l’OMC, 1998</w:t>
      </w:r>
      <w:r w:rsidRPr="005354AF">
        <w:rPr>
          <w:rFonts w:ascii="Times New Roman" w:hAnsi="Times New Roman" w:cs="Times New Roman"/>
          <w:sz w:val="20"/>
          <w:szCs w:val="20"/>
        </w:rPr>
        <w:t xml:space="preserve">, </w:t>
      </w:r>
      <w:r w:rsidRPr="005354AF">
        <w:rPr>
          <w:rFonts w:ascii="Times New Roman" w:hAnsi="Times New Roman" w:cs="Times New Roman"/>
          <w:i/>
          <w:sz w:val="20"/>
          <w:szCs w:val="20"/>
        </w:rPr>
        <w:t>op. cit.</w:t>
      </w:r>
      <w:r w:rsidRPr="005354AF">
        <w:rPr>
          <w:rFonts w:ascii="Times New Roman" w:hAnsi="Times New Roman" w:cs="Times New Roman"/>
          <w:sz w:val="20"/>
          <w:szCs w:val="20"/>
          <w:lang w:val="nl-NL"/>
        </w:rPr>
        <w:t>, p. 15.</w:t>
      </w:r>
    </w:p>
  </w:footnote>
  <w:footnote w:id="495">
    <w:p w14:paraId="335B9FCD" w14:textId="078C8492" w:rsidR="00C14253" w:rsidRPr="005354AF" w:rsidRDefault="00C14253" w:rsidP="00126F69">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z w:val="20"/>
          <w:szCs w:val="20"/>
        </w:rPr>
        <w:t xml:space="preserve"> </w:t>
      </w:r>
      <w:r w:rsidRPr="005354AF">
        <w:rPr>
          <w:rFonts w:ascii="Times New Roman" w:hAnsi="Times New Roman" w:cs="Times New Roman"/>
          <w:i/>
          <w:sz w:val="20"/>
          <w:szCs w:val="20"/>
        </w:rPr>
        <w:t xml:space="preserve">Mesures communautaires concernant les viandes et les produits carnés, </w:t>
      </w:r>
      <w:r w:rsidRPr="005354AF">
        <w:rPr>
          <w:rFonts w:ascii="Times New Roman" w:hAnsi="Times New Roman" w:cs="Times New Roman"/>
          <w:sz w:val="20"/>
          <w:szCs w:val="20"/>
          <w:lang w:val="nl-NL"/>
        </w:rPr>
        <w:t>rapport de l’Organe d’appel, §16, voir également §121 (</w:t>
      </w:r>
      <w:r w:rsidRPr="005354AF">
        <w:rPr>
          <w:rFonts w:ascii="Times New Roman" w:hAnsi="Times New Roman" w:cs="Times New Roman"/>
          <w:sz w:val="20"/>
          <w:szCs w:val="20"/>
        </w:rPr>
        <w:t xml:space="preserve">ci-après dénommé </w:t>
      </w:r>
      <w:r w:rsidRPr="005354AF">
        <w:rPr>
          <w:rFonts w:ascii="Times New Roman" w:hAnsi="Times New Roman" w:cs="Times New Roman"/>
          <w:i/>
          <w:sz w:val="20"/>
          <w:szCs w:val="20"/>
        </w:rPr>
        <w:t>Hormones</w:t>
      </w:r>
      <w:r w:rsidRPr="005354AF">
        <w:rPr>
          <w:rFonts w:ascii="Times New Roman" w:hAnsi="Times New Roman" w:cs="Times New Roman"/>
          <w:sz w:val="20"/>
          <w:szCs w:val="20"/>
        </w:rPr>
        <w:t>).</w:t>
      </w:r>
    </w:p>
  </w:footnote>
  <w:footnote w:id="496">
    <w:p w14:paraId="5D0E3757" w14:textId="4ACDE982" w:rsidR="00C14253" w:rsidRPr="005354AF" w:rsidRDefault="00C14253" w:rsidP="00126F69">
      <w:pPr>
        <w:pStyle w:val="Notedebasdepage"/>
        <w:rPr>
          <w:rFonts w:ascii="Times New Roman" w:hAnsi="Times New Roman" w:cs="Times New Roman"/>
          <w:sz w:val="20"/>
          <w:szCs w:val="20"/>
          <w:lang w:val="nl-NL"/>
        </w:rPr>
      </w:pPr>
      <w:r w:rsidRPr="005354AF">
        <w:rPr>
          <w:rStyle w:val="Marquenotebasdepage"/>
          <w:rFonts w:ascii="Times New Roman" w:hAnsi="Times New Roman" w:cs="Times New Roman"/>
          <w:sz w:val="20"/>
          <w:szCs w:val="20"/>
        </w:rPr>
        <w:footnoteRef/>
      </w:r>
      <w:r w:rsidRPr="005354AF">
        <w:rPr>
          <w:rFonts w:ascii="Times New Roman" w:hAnsi="Times New Roman" w:cs="Times New Roman"/>
          <w:sz w:val="20"/>
          <w:szCs w:val="20"/>
        </w:rPr>
        <w:t xml:space="preserve"> </w:t>
      </w:r>
      <w:r w:rsidRPr="005354AF">
        <w:rPr>
          <w:rFonts w:ascii="Times New Roman" w:hAnsi="Times New Roman" w:cs="Times New Roman"/>
          <w:smallCaps/>
          <w:sz w:val="20"/>
          <w:szCs w:val="20"/>
        </w:rPr>
        <w:t xml:space="preserve">B. Stern, H. Ruiz Fabri, </w:t>
      </w:r>
      <w:r w:rsidRPr="005354AF">
        <w:rPr>
          <w:rFonts w:ascii="Times New Roman" w:hAnsi="Times New Roman" w:cs="Times New Roman"/>
          <w:i/>
          <w:iCs/>
          <w:sz w:val="20"/>
          <w:szCs w:val="20"/>
        </w:rPr>
        <w:t>op. cit.</w:t>
      </w:r>
      <w:r w:rsidRPr="005354AF">
        <w:rPr>
          <w:rFonts w:ascii="Times New Roman" w:hAnsi="Times New Roman" w:cs="Times New Roman"/>
          <w:sz w:val="20"/>
          <w:szCs w:val="20"/>
          <w:lang w:val="nl-NL"/>
        </w:rPr>
        <w:t>, p. 15.</w:t>
      </w:r>
    </w:p>
  </w:footnote>
  <w:footnote w:id="497">
    <w:p w14:paraId="056DE378" w14:textId="0EED25F8" w:rsidR="00C14253" w:rsidRPr="00570190" w:rsidRDefault="00C14253" w:rsidP="00126F69">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smallCaps/>
          <w:sz w:val="20"/>
          <w:szCs w:val="20"/>
        </w:rPr>
        <w:t>B. Stern, H. Ruiz Fabri,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The Case-Law of the WTO, La jurisprudence de l’OMC, 1998</w:t>
      </w:r>
      <w:r w:rsidRPr="00570190">
        <w:rPr>
          <w:rFonts w:ascii="Times New Roman" w:hAnsi="Times New Roman" w:cs="Times New Roman"/>
          <w:sz w:val="20"/>
          <w:szCs w:val="20"/>
          <w:lang w:val="nl-NL"/>
        </w:rPr>
        <w:t>, p. 15.</w:t>
      </w:r>
    </w:p>
  </w:footnote>
  <w:footnote w:id="498">
    <w:p w14:paraId="63BC246B" w14:textId="14ED31D4" w:rsidR="00C14253" w:rsidRPr="00570190" w:rsidRDefault="00C14253" w:rsidP="00126F69">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i/>
          <w:iCs/>
          <w:sz w:val="20"/>
          <w:szCs w:val="20"/>
        </w:rPr>
        <w:t>.</w:t>
      </w:r>
      <w:r w:rsidRPr="00570190">
        <w:rPr>
          <w:rFonts w:ascii="Times New Roman" w:hAnsi="Times New Roman" w:cs="Times New Roman"/>
          <w:sz w:val="20"/>
          <w:szCs w:val="20"/>
          <w:lang w:val="nl-NL"/>
        </w:rPr>
        <w:t>, p. 16.</w:t>
      </w:r>
    </w:p>
  </w:footnote>
  <w:footnote w:id="499">
    <w:p w14:paraId="540AA169" w14:textId="6AB30104" w:rsidR="00C14253" w:rsidRPr="00570190" w:rsidRDefault="00C14253" w:rsidP="00006AE0">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p. 43; </w:t>
      </w:r>
      <w:r w:rsidRPr="00570190">
        <w:rPr>
          <w:rFonts w:ascii="Times New Roman" w:hAnsi="Times New Roman" w:cs="Times New Roman"/>
          <w:sz w:val="20"/>
          <w:szCs w:val="20"/>
        </w:rPr>
        <w:t xml:space="preserve">H. </w:t>
      </w:r>
      <w:r w:rsidRPr="00570190">
        <w:rPr>
          <w:rFonts w:ascii="Times New Roman" w:hAnsi="Times New Roman" w:cs="Times New Roman"/>
          <w:smallCaps/>
          <w:sz w:val="20"/>
          <w:szCs w:val="20"/>
        </w:rPr>
        <w:t>Horn, C. Mavroidis, Petros</w:t>
      </w:r>
      <w:r w:rsidRPr="00570190">
        <w:rPr>
          <w:rFonts w:ascii="Times New Roman" w:hAnsi="Times New Roman" w:cs="Times New Roman"/>
          <w:sz w:val="20"/>
          <w:szCs w:val="20"/>
        </w:rPr>
        <w:t xml:space="preserve">, « The WTO case law of 2006-2007 : Legal and Economic Analysis », </w:t>
      </w:r>
      <w:r w:rsidRPr="00570190">
        <w:rPr>
          <w:rFonts w:ascii="Times New Roman" w:hAnsi="Times New Roman" w:cs="Times New Roman"/>
          <w:i/>
          <w:sz w:val="20"/>
          <w:szCs w:val="20"/>
        </w:rPr>
        <w:t>op. cit.</w:t>
      </w:r>
      <w:r w:rsidRPr="00570190">
        <w:rPr>
          <w:rFonts w:ascii="Times New Roman" w:hAnsi="Times New Roman" w:cs="Times New Roman"/>
          <w:sz w:val="20"/>
          <w:szCs w:val="20"/>
        </w:rPr>
        <w:t>, p</w:t>
      </w:r>
      <w:r w:rsidRPr="00570190">
        <w:rPr>
          <w:rFonts w:ascii="Times New Roman" w:hAnsi="Times New Roman" w:cs="Times New Roman"/>
          <w:sz w:val="20"/>
          <w:szCs w:val="20"/>
          <w:lang w:val="nl-NL"/>
        </w:rPr>
        <w:t xml:space="preserve">. 50. </w:t>
      </w:r>
    </w:p>
  </w:footnote>
  <w:footnote w:id="500">
    <w:p w14:paraId="36DF257E" w14:textId="4C33D358" w:rsidR="00C14253" w:rsidRPr="00570190" w:rsidRDefault="00C14253" w:rsidP="00006AE0">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xml:space="preserve">, p. 44; </w:t>
      </w:r>
      <w:r w:rsidRPr="00570190">
        <w:rPr>
          <w:rFonts w:ascii="Times New Roman" w:hAnsi="Times New Roman" w:cs="Times New Roman"/>
          <w:sz w:val="20"/>
          <w:szCs w:val="20"/>
        </w:rPr>
        <w:t xml:space="preserve">H. </w:t>
      </w:r>
      <w:r w:rsidRPr="00570190">
        <w:rPr>
          <w:rFonts w:ascii="Times New Roman" w:hAnsi="Times New Roman" w:cs="Times New Roman"/>
          <w:smallCaps/>
          <w:sz w:val="20"/>
          <w:szCs w:val="20"/>
        </w:rPr>
        <w:t>Horn, C. Mavroidis, Petros</w:t>
      </w:r>
      <w:r w:rsidRPr="00570190">
        <w:rPr>
          <w:rFonts w:ascii="Times New Roman" w:hAnsi="Times New Roman" w:cs="Times New Roman"/>
          <w:sz w:val="20"/>
          <w:szCs w:val="20"/>
        </w:rPr>
        <w:t xml:space="preserve">, « The WTO case law of 2006-2007 : Legal and Economic Analysis », </w:t>
      </w:r>
      <w:r w:rsidRPr="00570190">
        <w:rPr>
          <w:rFonts w:ascii="Times New Roman" w:hAnsi="Times New Roman" w:cs="Times New Roman"/>
          <w:i/>
          <w:sz w:val="20"/>
          <w:szCs w:val="20"/>
        </w:rPr>
        <w:t>op. cit</w:t>
      </w:r>
      <w:r w:rsidRPr="00570190">
        <w:rPr>
          <w:rFonts w:ascii="Times New Roman" w:hAnsi="Times New Roman" w:cs="Times New Roman"/>
          <w:sz w:val="20"/>
          <w:szCs w:val="20"/>
        </w:rPr>
        <w:t>, p</w:t>
      </w:r>
      <w:r w:rsidRPr="00570190">
        <w:rPr>
          <w:rFonts w:ascii="Times New Roman" w:hAnsi="Times New Roman" w:cs="Times New Roman"/>
          <w:sz w:val="20"/>
          <w:szCs w:val="20"/>
          <w:lang w:val="nl-NL"/>
        </w:rPr>
        <w:t xml:space="preserve">p. 55 et 56. </w:t>
      </w:r>
    </w:p>
  </w:footnote>
  <w:footnote w:id="501">
    <w:p w14:paraId="29AE1F47" w14:textId="67EBA393" w:rsidR="00C14253" w:rsidRPr="00570190" w:rsidRDefault="00C14253" w:rsidP="00126F69">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iCs/>
          <w:sz w:val="20"/>
          <w:szCs w:val="20"/>
        </w:rPr>
        <w:t xml:space="preserve"> </w:t>
      </w:r>
      <w:r w:rsidRPr="00570190">
        <w:rPr>
          <w:rFonts w:ascii="Times New Roman" w:hAnsi="Times New Roman" w:cs="Times New Roman"/>
          <w:smallCaps/>
          <w:sz w:val="20"/>
          <w:szCs w:val="20"/>
        </w:rPr>
        <w:t xml:space="preserve">B. Stern, H. Ruiz Fabri, </w:t>
      </w:r>
      <w:r w:rsidRPr="00570190">
        <w:rPr>
          <w:rFonts w:ascii="Times New Roman" w:hAnsi="Times New Roman" w:cs="Times New Roman"/>
          <w:i/>
          <w:iCs/>
          <w:sz w:val="20"/>
          <w:szCs w:val="20"/>
        </w:rPr>
        <w:t>op. cit.</w:t>
      </w:r>
      <w:r w:rsidRPr="00570190">
        <w:rPr>
          <w:rFonts w:ascii="Times New Roman" w:hAnsi="Times New Roman" w:cs="Times New Roman"/>
          <w:sz w:val="20"/>
          <w:szCs w:val="20"/>
          <w:lang w:val="nl-NL"/>
        </w:rPr>
        <w:t>, p. 69.</w:t>
      </w:r>
    </w:p>
  </w:footnote>
  <w:footnote w:id="502">
    <w:p w14:paraId="17F2ABBB" w14:textId="2F2558D8" w:rsidR="00C14253" w:rsidRPr="00570190" w:rsidRDefault="00C14253" w:rsidP="00126F69">
      <w:pPr>
        <w:pStyle w:val="Notedebasdepage"/>
        <w:rPr>
          <w:rFonts w:ascii="Times New Roman" w:hAnsi="Times New Roman" w:cs="Times New Roman"/>
          <w:i/>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p. 55; S. </w:t>
      </w:r>
      <w:r w:rsidRPr="00570190">
        <w:rPr>
          <w:rFonts w:ascii="Times New Roman" w:hAnsi="Times New Roman" w:cs="Times New Roman"/>
          <w:smallCaps/>
          <w:sz w:val="20"/>
          <w:szCs w:val="20"/>
        </w:rPr>
        <w:t xml:space="preserve">Maljean-Dubois, </w:t>
      </w:r>
      <w:r w:rsidRPr="00570190">
        <w:rPr>
          <w:rFonts w:ascii="Times New Roman" w:hAnsi="Times New Roman" w:cs="Times New Roman"/>
          <w:i/>
          <w:sz w:val="20"/>
          <w:szCs w:val="20"/>
        </w:rPr>
        <w:t>op. cit</w:t>
      </w:r>
      <w:r w:rsidRPr="00570190">
        <w:rPr>
          <w:rFonts w:ascii="Times New Roman" w:hAnsi="Times New Roman" w:cs="Times New Roman"/>
          <w:sz w:val="20"/>
          <w:szCs w:val="20"/>
        </w:rPr>
        <w:t>., pp. 75-76.</w:t>
      </w:r>
    </w:p>
  </w:footnote>
  <w:footnote w:id="503">
    <w:p w14:paraId="53B2DC9B" w14:textId="28626102" w:rsidR="00C14253" w:rsidRPr="00570190" w:rsidRDefault="00C14253" w:rsidP="00126F69">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S. </w:t>
      </w:r>
      <w:r w:rsidRPr="00570190">
        <w:rPr>
          <w:rFonts w:ascii="Times New Roman" w:hAnsi="Times New Roman" w:cs="Times New Roman"/>
          <w:smallCaps/>
          <w:sz w:val="20"/>
          <w:szCs w:val="20"/>
        </w:rPr>
        <w:t xml:space="preserve">Maljean-Dubois, </w:t>
      </w:r>
      <w:r w:rsidRPr="00570190">
        <w:rPr>
          <w:rFonts w:ascii="Times New Roman" w:hAnsi="Times New Roman" w:cs="Times New Roman"/>
          <w:i/>
          <w:sz w:val="20"/>
          <w:szCs w:val="20"/>
        </w:rPr>
        <w:t xml:space="preserve">op. cit., </w:t>
      </w:r>
      <w:r w:rsidRPr="00570190">
        <w:rPr>
          <w:rFonts w:ascii="Times New Roman" w:hAnsi="Times New Roman" w:cs="Times New Roman"/>
          <w:sz w:val="20"/>
          <w:szCs w:val="20"/>
        </w:rPr>
        <w:t xml:space="preserve">pp. 392-393 ; </w:t>
      </w:r>
      <w:r w:rsidRPr="00570190">
        <w:rPr>
          <w:rFonts w:ascii="Times New Roman" w:hAnsi="Times New Roman" w:cs="Times New Roman"/>
          <w:i/>
          <w:sz w:val="20"/>
          <w:szCs w:val="20"/>
        </w:rPr>
        <w:t>Hormones</w:t>
      </w:r>
      <w:r w:rsidRPr="00570190">
        <w:rPr>
          <w:rFonts w:ascii="Times New Roman" w:hAnsi="Times New Roman" w:cs="Times New Roman"/>
          <w:sz w:val="20"/>
          <w:szCs w:val="20"/>
        </w:rPr>
        <w:t>, rapport du Groupe spécial, § 121.</w:t>
      </w:r>
    </w:p>
  </w:footnote>
  <w:footnote w:id="504">
    <w:p w14:paraId="0FC5FE94" w14:textId="4C190E10" w:rsidR="00C14253" w:rsidRPr="00570190" w:rsidRDefault="00C14253" w:rsidP="00126F69">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 xml:space="preserve">B. Stern, H. Ruiz Fabri, </w:t>
      </w:r>
      <w:r w:rsidRPr="00570190">
        <w:rPr>
          <w:rFonts w:ascii="Times New Roman" w:hAnsi="Times New Roman" w:cs="Times New Roman"/>
          <w:i/>
          <w:iCs/>
          <w:sz w:val="20"/>
          <w:szCs w:val="20"/>
        </w:rPr>
        <w:t>op. cit.</w:t>
      </w:r>
      <w:r w:rsidRPr="00570190">
        <w:rPr>
          <w:rFonts w:ascii="Times New Roman" w:hAnsi="Times New Roman" w:cs="Times New Roman"/>
          <w:sz w:val="20"/>
          <w:szCs w:val="20"/>
          <w:lang w:val="nl-NL"/>
        </w:rPr>
        <w:t xml:space="preserve">, p. 69; S., </w:t>
      </w:r>
      <w:r w:rsidRPr="00570190">
        <w:rPr>
          <w:rFonts w:ascii="Times New Roman" w:hAnsi="Times New Roman" w:cs="Times New Roman"/>
          <w:smallCaps/>
          <w:sz w:val="20"/>
          <w:szCs w:val="20"/>
        </w:rPr>
        <w:t xml:space="preserve">Maljean-Dubois, </w:t>
      </w:r>
      <w:r w:rsidRPr="00570190">
        <w:rPr>
          <w:rFonts w:ascii="Times New Roman" w:hAnsi="Times New Roman" w:cs="Times New Roman"/>
          <w:i/>
          <w:sz w:val="20"/>
          <w:szCs w:val="20"/>
        </w:rPr>
        <w:t>op. cit.</w:t>
      </w:r>
      <w:r w:rsidRPr="00570190">
        <w:rPr>
          <w:rFonts w:ascii="Times New Roman" w:hAnsi="Times New Roman" w:cs="Times New Roman"/>
          <w:sz w:val="20"/>
          <w:szCs w:val="20"/>
        </w:rPr>
        <w:t>, pp. 392-393.</w:t>
      </w:r>
    </w:p>
  </w:footnote>
  <w:footnote w:id="505">
    <w:p w14:paraId="39C42631" w14:textId="66C639E9"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 xml:space="preserve">B. Stern, H. Ruiz Fabri, </w:t>
      </w:r>
      <w:r w:rsidRPr="00570190">
        <w:rPr>
          <w:rFonts w:ascii="Times New Roman" w:hAnsi="Times New Roman" w:cs="Times New Roman"/>
          <w:i/>
          <w:iCs/>
          <w:sz w:val="20"/>
          <w:szCs w:val="20"/>
        </w:rPr>
        <w:t>op. cit.</w:t>
      </w:r>
      <w:r w:rsidRPr="00570190">
        <w:rPr>
          <w:rFonts w:ascii="Times New Roman" w:hAnsi="Times New Roman" w:cs="Times New Roman"/>
          <w:sz w:val="20"/>
          <w:szCs w:val="20"/>
          <w:lang w:val="nl-NL"/>
        </w:rPr>
        <w:t xml:space="preserve">, </w:t>
      </w:r>
      <w:r w:rsidRPr="00570190">
        <w:rPr>
          <w:rFonts w:ascii="Times New Roman" w:hAnsi="Times New Roman" w:cs="Times New Roman"/>
          <w:sz w:val="20"/>
          <w:szCs w:val="20"/>
        </w:rPr>
        <w:t>p. 69.</w:t>
      </w:r>
    </w:p>
  </w:footnote>
  <w:footnote w:id="506">
    <w:p w14:paraId="34FA0902" w14:textId="6BF3CC64"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Hormones</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rapport de l’Organe d’appel, § 200.</w:t>
      </w:r>
    </w:p>
  </w:footnote>
  <w:footnote w:id="507">
    <w:p w14:paraId="77385815" w14:textId="77777777"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Article 5§1 de l’Accord SPS stipule que </w:t>
      </w:r>
      <w:r w:rsidRPr="00570190">
        <w:rPr>
          <w:rFonts w:ascii="Times New Roman" w:hAnsi="Times New Roman" w:cs="Times New Roman"/>
          <w:i/>
          <w:sz w:val="20"/>
          <w:szCs w:val="20"/>
        </w:rPr>
        <w:t>« Les Membres feront en sorte que leurs mesures sanitaires ou phytosanitaires soient établis sur la base d’une évaluation, selon qu’il sera approprié en fonction des circonstances, des risques pour la santé et la vie des personnes et des animaux ou pour la préservation des végétaux, compte tenu des techniques d’évaluation des risques élaborés par les organisations internationales compétentes »</w:t>
      </w:r>
      <w:r w:rsidRPr="00570190">
        <w:rPr>
          <w:rFonts w:ascii="Times New Roman" w:hAnsi="Times New Roman" w:cs="Times New Roman"/>
          <w:sz w:val="20"/>
          <w:szCs w:val="20"/>
        </w:rPr>
        <w:t>.</w:t>
      </w:r>
    </w:p>
  </w:footnote>
  <w:footnote w:id="508">
    <w:p w14:paraId="47980CF9" w14:textId="77777777"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Article 5§2 de l’Accord SPS stipule que </w:t>
      </w:r>
      <w:r w:rsidRPr="00570190">
        <w:rPr>
          <w:rFonts w:ascii="Times New Roman" w:hAnsi="Times New Roman" w:cs="Times New Roman"/>
          <w:i/>
          <w:sz w:val="20"/>
          <w:szCs w:val="20"/>
        </w:rPr>
        <w:t>« Dans l’évaluation des risques, les Membres tiendront compte des preuves scientifiques disponibles ; des procédés et méthodes de production pertinents ; des méthodes d’inspection, d’échantillonnage et d’essai pertinents, de la prévalence de maladies ou de parasites spécifiques ; de l’existence de zones exemptes de parasites ou de maladies ; des conditions écologiques et environnementales pertinentes et des régimes de quarantaine ou autres »</w:t>
      </w:r>
      <w:r w:rsidRPr="00570190">
        <w:rPr>
          <w:rFonts w:ascii="Times New Roman" w:hAnsi="Times New Roman" w:cs="Times New Roman"/>
          <w:sz w:val="20"/>
          <w:szCs w:val="20"/>
        </w:rPr>
        <w:t>.</w:t>
      </w:r>
    </w:p>
  </w:footnote>
  <w:footnote w:id="509">
    <w:p w14:paraId="2F36834D" w14:textId="4694F672" w:rsidR="00C14253" w:rsidRPr="00570190" w:rsidRDefault="00C14253" w:rsidP="003E741C">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Hormones</w:t>
      </w:r>
      <w:r w:rsidRPr="00570190">
        <w:rPr>
          <w:rFonts w:ascii="Times New Roman" w:hAnsi="Times New Roman" w:cs="Times New Roman"/>
          <w:sz w:val="20"/>
          <w:szCs w:val="20"/>
          <w:lang w:val="nl-NL"/>
        </w:rPr>
        <w:t xml:space="preserve">, rapport du Groupe spécial du 18 août 1997, §8.157-8.158 et §8.160-8.161; </w:t>
      </w:r>
      <w:r w:rsidRPr="00570190">
        <w:rPr>
          <w:rFonts w:ascii="Times New Roman" w:hAnsi="Times New Roman" w:cs="Times New Roman"/>
          <w:smallCaps/>
          <w:sz w:val="20"/>
          <w:szCs w:val="20"/>
        </w:rPr>
        <w:t xml:space="preserve">Maljean-Dubois,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pp. 392-393 ; J.-M. </w:t>
      </w:r>
      <w:r w:rsidRPr="00570190">
        <w:rPr>
          <w:rFonts w:ascii="Times New Roman" w:hAnsi="Times New Roman" w:cs="Times New Roman"/>
          <w:smallCaps/>
          <w:sz w:val="20"/>
          <w:szCs w:val="20"/>
        </w:rPr>
        <w:t>Warêgne</w:t>
      </w:r>
      <w:r w:rsidRPr="00570190">
        <w:rPr>
          <w:rFonts w:ascii="Times New Roman" w:hAnsi="Times New Roman" w:cs="Times New Roman"/>
          <w:sz w:val="20"/>
          <w:szCs w:val="20"/>
        </w:rPr>
        <w:t xml:space="preserve">, « L’organisation mondiale du commerce et le différend du bœuf aux hormones », Courrier hebdomadaire, 1999, n°1658-1659, </w:t>
      </w:r>
      <w:r w:rsidRPr="00570190">
        <w:rPr>
          <w:rFonts w:ascii="Times New Roman" w:hAnsi="Times New Roman" w:cs="Times New Roman"/>
          <w:sz w:val="20"/>
          <w:szCs w:val="20"/>
          <w:lang w:val="nl-NL"/>
        </w:rPr>
        <w:t>p. 13.</w:t>
      </w:r>
    </w:p>
  </w:footnote>
  <w:footnote w:id="510">
    <w:p w14:paraId="5957E874" w14:textId="61304598"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S.</w:t>
      </w:r>
      <w:r w:rsidRPr="00570190">
        <w:rPr>
          <w:rFonts w:ascii="Times New Roman" w:hAnsi="Times New Roman" w:cs="Times New Roman"/>
          <w:smallCaps/>
          <w:sz w:val="20"/>
          <w:szCs w:val="20"/>
        </w:rPr>
        <w:t xml:space="preserve">Maljean-Dubois, </w:t>
      </w:r>
      <w:r w:rsidRPr="00570190">
        <w:rPr>
          <w:rFonts w:ascii="Times New Roman" w:hAnsi="Times New Roman" w:cs="Times New Roman"/>
          <w:i/>
          <w:sz w:val="20"/>
          <w:szCs w:val="20"/>
        </w:rPr>
        <w:t>op. cit.</w:t>
      </w:r>
      <w:r w:rsidRPr="00570190">
        <w:rPr>
          <w:rFonts w:ascii="Times New Roman" w:hAnsi="Times New Roman" w:cs="Times New Roman"/>
          <w:sz w:val="20"/>
          <w:szCs w:val="20"/>
        </w:rPr>
        <w:t>, pp. 392-393.</w:t>
      </w:r>
    </w:p>
  </w:footnote>
  <w:footnote w:id="511">
    <w:p w14:paraId="1C7D8EEC" w14:textId="56D310A2"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Hormones</w:t>
      </w:r>
      <w:r w:rsidRPr="00570190">
        <w:rPr>
          <w:rFonts w:ascii="Times New Roman" w:hAnsi="Times New Roman" w:cs="Times New Roman"/>
          <w:sz w:val="20"/>
          <w:szCs w:val="20"/>
          <w:lang w:val="nl-NL"/>
        </w:rPr>
        <w:t xml:space="preserve">, rapport de l’Organe d’appel, § 125; P. </w:t>
      </w:r>
      <w:r w:rsidRPr="00570190">
        <w:rPr>
          <w:rFonts w:ascii="Times New Roman" w:hAnsi="Times New Roman" w:cs="Times New Roman"/>
          <w:smallCaps/>
          <w:sz w:val="20"/>
          <w:szCs w:val="20"/>
        </w:rPr>
        <w:t>Van den Bossche</w:t>
      </w:r>
      <w:r w:rsidRPr="00570190">
        <w:rPr>
          <w:rFonts w:ascii="Times New Roman" w:hAnsi="Times New Roman" w:cs="Times New Roman"/>
          <w:sz w:val="20"/>
          <w:szCs w:val="20"/>
        </w:rPr>
        <w:t xml:space="preserve">, W. </w:t>
      </w:r>
      <w:r w:rsidRPr="00570190">
        <w:rPr>
          <w:rFonts w:ascii="Times New Roman" w:hAnsi="Times New Roman" w:cs="Times New Roman"/>
          <w:smallCaps/>
          <w:sz w:val="20"/>
          <w:szCs w:val="20"/>
        </w:rPr>
        <w:t xml:space="preserve"> Zdouc</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 xml:space="preserve">op. cit. </w:t>
      </w:r>
      <w:r w:rsidRPr="00570190">
        <w:rPr>
          <w:rFonts w:ascii="Times New Roman" w:hAnsi="Times New Roman" w:cs="Times New Roman"/>
          <w:sz w:val="20"/>
          <w:szCs w:val="20"/>
          <w:lang w:val="nl-NL"/>
        </w:rPr>
        <w:t>p. 56.</w:t>
      </w:r>
    </w:p>
  </w:footnote>
  <w:footnote w:id="512">
    <w:p w14:paraId="17E0B2FA" w14:textId="57196581"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Hormones</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rapport de l’Organe d’appel, § 124 ; P. </w:t>
      </w:r>
      <w:r w:rsidRPr="00570190">
        <w:rPr>
          <w:rFonts w:ascii="Times New Roman" w:hAnsi="Times New Roman" w:cs="Times New Roman"/>
          <w:smallCaps/>
          <w:sz w:val="20"/>
          <w:szCs w:val="20"/>
        </w:rPr>
        <w:t>Van den Bossche</w:t>
      </w:r>
      <w:r w:rsidRPr="00570190">
        <w:rPr>
          <w:rFonts w:ascii="Times New Roman" w:hAnsi="Times New Roman" w:cs="Times New Roman"/>
          <w:sz w:val="20"/>
          <w:szCs w:val="20"/>
        </w:rPr>
        <w:t xml:space="preserve">, W. </w:t>
      </w:r>
      <w:r w:rsidRPr="00570190">
        <w:rPr>
          <w:rFonts w:ascii="Times New Roman" w:hAnsi="Times New Roman" w:cs="Times New Roman"/>
          <w:smallCaps/>
          <w:sz w:val="20"/>
          <w:szCs w:val="20"/>
        </w:rPr>
        <w:t xml:space="preserve"> Zdouc</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 xml:space="preserve">op. cit. </w:t>
      </w:r>
      <w:r w:rsidRPr="00570190">
        <w:rPr>
          <w:rFonts w:ascii="Times New Roman" w:hAnsi="Times New Roman" w:cs="Times New Roman"/>
          <w:sz w:val="20"/>
          <w:szCs w:val="20"/>
          <w:lang w:val="nl-NL"/>
        </w:rPr>
        <w:t>p. 56.</w:t>
      </w:r>
    </w:p>
  </w:footnote>
  <w:footnote w:id="513">
    <w:p w14:paraId="223EDFFD" w14:textId="77777777"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i/>
          <w:sz w:val="20"/>
          <w:szCs w:val="20"/>
        </w:rPr>
        <w:footnoteRef/>
      </w:r>
      <w:r w:rsidRPr="00570190">
        <w:rPr>
          <w:rFonts w:ascii="Times New Roman" w:hAnsi="Times New Roman" w:cs="Times New Roman"/>
          <w:i/>
          <w:sz w:val="20"/>
          <w:szCs w:val="20"/>
        </w:rPr>
        <w:t xml:space="preserve"> Ibid</w:t>
      </w:r>
      <w:r w:rsidRPr="00570190">
        <w:rPr>
          <w:rFonts w:ascii="Times New Roman" w:hAnsi="Times New Roman" w:cs="Times New Roman"/>
          <w:sz w:val="20"/>
          <w:szCs w:val="20"/>
        </w:rPr>
        <w:t xml:space="preserve">, §123. Le principe de précaution n’a pas été discuté lors de la négociation de l’Accord SPS. L’Organe d’appel le fait d’ailleurs comprendre en énonçant que </w:t>
      </w:r>
      <w:r w:rsidRPr="00570190">
        <w:rPr>
          <w:rFonts w:ascii="Times New Roman" w:hAnsi="Times New Roman" w:cs="Times New Roman"/>
          <w:i/>
          <w:sz w:val="20"/>
          <w:szCs w:val="20"/>
        </w:rPr>
        <w:t>« le principe n’a pas été incorporé dans l’Accord SPS comme motif justifiant des mesures SPS qui sont par ailleurs incompatibles avec les obligations des Membres énoncées dans des dispositions particulières dudit accord (…) le principe de précaution ne dispense pas en soi et sans une directive explicite et claire dans ce sens, le Groupe spécial a l’obligation d’appliquer des principes normaux (c’est-à-dire du droit international coutumier) de l’interprétation des traités pour interpréter les dispositions de l’Accord SPS (…) Nous approuvons donc la constatation du Groupe spécial selon laquelle le principe de précaution ne l’emporte pas sur les dispositions de l’Accord SPS »</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 124-125.</w:t>
      </w:r>
    </w:p>
  </w:footnote>
  <w:footnote w:id="514">
    <w:p w14:paraId="6123A51B" w14:textId="2EB542A4" w:rsidR="00C14253" w:rsidRPr="00080648" w:rsidRDefault="00C14253" w:rsidP="00080648">
      <w:pPr>
        <w:pStyle w:val="Corpsdetexte3"/>
        <w:numPr>
          <w:ilvl w:val="0"/>
          <w:numId w:val="0"/>
        </w:numPr>
        <w:rPr>
          <w:sz w:val="20"/>
        </w:rPr>
      </w:pPr>
      <w:r w:rsidRPr="00570190">
        <w:rPr>
          <w:rStyle w:val="Marquenotebasdepage"/>
          <w:sz w:val="20"/>
        </w:rPr>
        <w:footnoteRef/>
      </w:r>
      <w:r w:rsidRPr="00570190">
        <w:rPr>
          <w:sz w:val="20"/>
        </w:rPr>
        <w:t xml:space="preserve"> </w:t>
      </w:r>
      <w:r w:rsidRPr="00570190">
        <w:rPr>
          <w:sz w:val="20"/>
          <w:lang w:val="nl-NL"/>
        </w:rPr>
        <w:t xml:space="preserve">La jurisprudence de la C.I.J. est citée en note de bas de page dans le rapport de l’Organe d’appel, </w:t>
      </w:r>
      <w:r w:rsidRPr="00570190">
        <w:rPr>
          <w:i/>
          <w:sz w:val="20"/>
          <w:lang w:val="nl-NL"/>
        </w:rPr>
        <w:t>Ibid.</w:t>
      </w:r>
      <w:r w:rsidRPr="00570190">
        <w:rPr>
          <w:sz w:val="20"/>
          <w:lang w:val="nl-NL"/>
        </w:rPr>
        <w:t xml:space="preserve">, §123. ; </w:t>
      </w:r>
      <w:r w:rsidRPr="00080648">
        <w:rPr>
          <w:i/>
          <w:sz w:val="20"/>
        </w:rPr>
        <w:t>Gabcikovo-Nagymaros</w:t>
      </w:r>
      <w:r w:rsidRPr="00080648">
        <w:rPr>
          <w:sz w:val="20"/>
        </w:rPr>
        <w:t xml:space="preserve"> (Hongrie c. Slovaquie), Arrêt du 25 septembre 1997, rec., 1997.</w:t>
      </w:r>
    </w:p>
  </w:footnote>
  <w:footnote w:id="515">
    <w:p w14:paraId="2F81DF7E" w14:textId="42A314F6"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Hormones</w:t>
      </w:r>
      <w:r w:rsidRPr="00570190">
        <w:rPr>
          <w:rFonts w:ascii="Times New Roman" w:hAnsi="Times New Roman" w:cs="Times New Roman"/>
          <w:sz w:val="20"/>
          <w:szCs w:val="20"/>
        </w:rPr>
        <w:t xml:space="preserve">, rapport de l’Organe d’appel, 16 janvier 1998, WT/DS26/AB/R-WT/DS48/AB/R, §123. Les références relatives au débat doctrinal concernant le principe de précaution et l’arrêt de la Cour internationale de Justice dans l’affaire </w:t>
      </w:r>
      <w:r w:rsidRPr="00570190">
        <w:rPr>
          <w:rFonts w:ascii="Times New Roman" w:hAnsi="Times New Roman" w:cs="Times New Roman"/>
          <w:i/>
          <w:sz w:val="20"/>
          <w:szCs w:val="20"/>
        </w:rPr>
        <w:t>Gabcikovo-Nagymaros</w:t>
      </w:r>
      <w:r w:rsidRPr="00570190">
        <w:rPr>
          <w:rFonts w:ascii="Times New Roman" w:hAnsi="Times New Roman" w:cs="Times New Roman"/>
          <w:sz w:val="20"/>
          <w:szCs w:val="20"/>
        </w:rPr>
        <w:t xml:space="preserve"> apparaissent respectivement aux notes de bas de page 92 et 93 ; B. </w:t>
      </w:r>
      <w:r w:rsidRPr="00570190">
        <w:rPr>
          <w:rFonts w:ascii="Times New Roman" w:hAnsi="Times New Roman" w:cs="Times New Roman"/>
          <w:smallCaps/>
          <w:sz w:val="20"/>
          <w:szCs w:val="20"/>
        </w:rPr>
        <w:t xml:space="preserve">Stern, H. Ruiz Fabri, </w:t>
      </w:r>
      <w:r w:rsidRPr="00570190">
        <w:rPr>
          <w:rFonts w:ascii="Times New Roman" w:hAnsi="Times New Roman" w:cs="Times New Roman"/>
          <w:i/>
          <w:sz w:val="20"/>
          <w:szCs w:val="20"/>
        </w:rPr>
        <w:t xml:space="preserve">The Case-Law of the WTO, La jurisprudence de l’OMC, 1998, </w:t>
      </w:r>
      <w:r w:rsidRPr="00570190">
        <w:rPr>
          <w:rFonts w:ascii="Times New Roman" w:hAnsi="Times New Roman" w:cs="Times New Roman"/>
          <w:sz w:val="20"/>
          <w:szCs w:val="20"/>
        </w:rPr>
        <w:t xml:space="preserve">p. 56. </w:t>
      </w:r>
    </w:p>
  </w:footnote>
  <w:footnote w:id="516">
    <w:p w14:paraId="1DDAC684" w14:textId="7B60E19D" w:rsidR="00C14253" w:rsidRPr="00570190" w:rsidRDefault="00C14253">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p>
  </w:footnote>
  <w:footnote w:id="517">
    <w:p w14:paraId="2467A0B8" w14:textId="7AE85F85" w:rsidR="00C14253" w:rsidRPr="00570190" w:rsidRDefault="00C14253" w:rsidP="00126F69">
      <w:pPr>
        <w:pStyle w:val="Notedebasdepage"/>
        <w:jc w:val="both"/>
        <w:rPr>
          <w:rFonts w:ascii="Times New Roman" w:hAnsi="Times New Roman" w:cs="Times New Roman"/>
          <w:iCs/>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Hormones</w:t>
      </w:r>
      <w:r w:rsidRPr="00570190">
        <w:rPr>
          <w:rFonts w:ascii="Times New Roman" w:hAnsi="Times New Roman" w:cs="Times New Roman"/>
          <w:sz w:val="20"/>
          <w:szCs w:val="20"/>
        </w:rPr>
        <w:t xml:space="preserve">, rapport de l’Organe d’appel, § 124 ; S. </w:t>
      </w:r>
      <w:r w:rsidRPr="00570190">
        <w:rPr>
          <w:rFonts w:ascii="Times New Roman" w:hAnsi="Times New Roman" w:cs="Times New Roman"/>
          <w:smallCaps/>
          <w:sz w:val="20"/>
          <w:szCs w:val="20"/>
        </w:rPr>
        <w:t xml:space="preserve">Maljean-Dubois, </w:t>
      </w:r>
      <w:r w:rsidRPr="00570190">
        <w:rPr>
          <w:rFonts w:ascii="Times New Roman" w:hAnsi="Times New Roman" w:cs="Times New Roman"/>
          <w:i/>
          <w:iCs/>
          <w:sz w:val="20"/>
          <w:szCs w:val="20"/>
        </w:rPr>
        <w:t>op. cit.,</w:t>
      </w:r>
      <w:r w:rsidRPr="00570190">
        <w:rPr>
          <w:rFonts w:ascii="Times New Roman" w:hAnsi="Times New Roman" w:cs="Times New Roman"/>
          <w:iCs/>
          <w:sz w:val="20"/>
          <w:szCs w:val="20"/>
        </w:rPr>
        <w:t xml:space="preserve">p. 393 ; </w:t>
      </w:r>
      <w:r w:rsidRPr="00570190">
        <w:rPr>
          <w:rFonts w:ascii="Times New Roman" w:hAnsi="Times New Roman" w:cs="Times New Roman"/>
          <w:sz w:val="20"/>
          <w:szCs w:val="20"/>
          <w:lang w:val="nl-NL"/>
        </w:rPr>
        <w:t xml:space="preserve">H. </w:t>
      </w:r>
      <w:r w:rsidRPr="00570190">
        <w:rPr>
          <w:rFonts w:ascii="Times New Roman" w:hAnsi="Times New Roman" w:cs="Times New Roman"/>
          <w:smallCaps/>
          <w:sz w:val="20"/>
          <w:szCs w:val="20"/>
        </w:rPr>
        <w:t>Jackson John, H.</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331.</w:t>
      </w:r>
    </w:p>
  </w:footnote>
  <w:footnote w:id="518">
    <w:p w14:paraId="368D724F" w14:textId="17187040"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S. </w:t>
      </w:r>
      <w:r w:rsidRPr="00570190">
        <w:rPr>
          <w:rFonts w:ascii="Times New Roman" w:hAnsi="Times New Roman" w:cs="Times New Roman"/>
          <w:smallCaps/>
          <w:sz w:val="20"/>
          <w:szCs w:val="20"/>
        </w:rPr>
        <w:t xml:space="preserve">Maljean-Dubois, </w:t>
      </w:r>
      <w:r w:rsidRPr="00570190">
        <w:rPr>
          <w:rFonts w:ascii="Times New Roman" w:hAnsi="Times New Roman" w:cs="Times New Roman"/>
          <w:i/>
          <w:iCs/>
          <w:sz w:val="20"/>
          <w:szCs w:val="20"/>
        </w:rPr>
        <w:t>op. cit.,</w:t>
      </w:r>
      <w:r w:rsidRPr="00570190">
        <w:rPr>
          <w:rFonts w:ascii="Times New Roman" w:hAnsi="Times New Roman" w:cs="Times New Roman"/>
          <w:iCs/>
          <w:sz w:val="20"/>
          <w:szCs w:val="20"/>
        </w:rPr>
        <w:t xml:space="preserve">p. 393 ; </w:t>
      </w:r>
      <w:r w:rsidRPr="00570190">
        <w:rPr>
          <w:rFonts w:ascii="Times New Roman" w:hAnsi="Times New Roman" w:cs="Times New Roman"/>
          <w:iCs/>
          <w:sz w:val="20"/>
          <w:szCs w:val="20"/>
          <w:highlight w:val="lightGray"/>
        </w:rPr>
        <w:t>Principe 15 de la Déclaration de Rio : </w:t>
      </w:r>
      <w:r w:rsidRPr="00570190">
        <w:rPr>
          <w:rFonts w:ascii="Times New Roman" w:hAnsi="Times New Roman" w:cs="Times New Roman"/>
          <w:i/>
          <w:iCs/>
          <w:sz w:val="20"/>
          <w:szCs w:val="20"/>
          <w:highlight w:val="lightGray"/>
        </w:rPr>
        <w:t>« Pour protéger l’environnement, des mesures de précaution doivent être largement appliquées par les Etats selon leurs capacités. En cas de risque de dommages graves ou irréversibles, l’absence de certitude scientifique absolue ne</w:t>
      </w:r>
      <w:r w:rsidRPr="00570190">
        <w:rPr>
          <w:rFonts w:ascii="Times New Roman" w:hAnsi="Times New Roman" w:cs="Times New Roman"/>
          <w:i/>
          <w:iCs/>
          <w:sz w:val="20"/>
          <w:szCs w:val="20"/>
        </w:rPr>
        <w:t xml:space="preserve"> doit pas servir de prétexte pour remettre à plus tard l’adoption de mesures effectives visant à prévenir la dégradation de l’environnement »</w:t>
      </w:r>
      <w:r w:rsidRPr="00570190">
        <w:rPr>
          <w:rFonts w:ascii="Times New Roman" w:hAnsi="Times New Roman" w:cs="Times New Roman"/>
          <w:iCs/>
          <w:sz w:val="20"/>
          <w:szCs w:val="20"/>
        </w:rPr>
        <w:t xml:space="preserve">. </w:t>
      </w:r>
    </w:p>
  </w:footnote>
  <w:footnote w:id="519">
    <w:p w14:paraId="6B6714C4" w14:textId="18D58D8A"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rPr>
        <w:t>Hormones</w:t>
      </w:r>
      <w:r w:rsidRPr="00570190">
        <w:rPr>
          <w:rFonts w:ascii="Times New Roman" w:hAnsi="Times New Roman" w:cs="Times New Roman"/>
          <w:sz w:val="20"/>
          <w:szCs w:val="20"/>
        </w:rPr>
        <w:t>, rapport de l’Organe d’appel, §123.</w:t>
      </w:r>
      <w:r w:rsidRPr="00570190">
        <w:rPr>
          <w:rFonts w:ascii="Times New Roman" w:hAnsi="Times New Roman" w:cs="Times New Roman"/>
          <w:sz w:val="20"/>
          <w:szCs w:val="20"/>
          <w:lang w:val="nl-NL"/>
        </w:rPr>
        <w:t xml:space="preserve"> </w:t>
      </w:r>
    </w:p>
  </w:footnote>
  <w:footnote w:id="520">
    <w:p w14:paraId="6C949BC3" w14:textId="019E5513"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rPr>
        <w:t>Stern, B., Ruiz Fabri, H.</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The Case-Law of the WTO, La jurisprudence de l’OMC, 1998, op. cit.</w:t>
      </w:r>
      <w:r w:rsidRPr="00570190">
        <w:rPr>
          <w:rFonts w:ascii="Times New Roman" w:hAnsi="Times New Roman" w:cs="Times New Roman"/>
          <w:sz w:val="20"/>
          <w:szCs w:val="20"/>
        </w:rPr>
        <w:t>, p. 56.</w:t>
      </w:r>
    </w:p>
  </w:footnote>
  <w:footnote w:id="521">
    <w:p w14:paraId="1C286BB9" w14:textId="77777777"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Hormones</w:t>
      </w:r>
      <w:r w:rsidRPr="00570190">
        <w:rPr>
          <w:rFonts w:ascii="Times New Roman" w:hAnsi="Times New Roman" w:cs="Times New Roman"/>
          <w:sz w:val="20"/>
          <w:szCs w:val="20"/>
          <w:lang w:val="nl-NL"/>
        </w:rPr>
        <w:t>, rapport de l’Organe d’appel, § 124.</w:t>
      </w:r>
    </w:p>
  </w:footnote>
  <w:footnote w:id="522">
    <w:p w14:paraId="55B950A1" w14:textId="77777777"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Notons que </w:t>
      </w:r>
      <w:r w:rsidRPr="00570190">
        <w:rPr>
          <w:rFonts w:ascii="Times New Roman" w:hAnsi="Times New Roman" w:cs="Times New Roman"/>
          <w:sz w:val="20"/>
          <w:szCs w:val="20"/>
          <w:lang w:val="nl-NL"/>
        </w:rPr>
        <w:t xml:space="preserve">l’article 5§7 n’autorise que l’adoption de mesures prises à titre provisoire. ; </w:t>
      </w:r>
      <w:r w:rsidRPr="00570190">
        <w:rPr>
          <w:rFonts w:ascii="Times New Roman" w:hAnsi="Times New Roman" w:cs="Times New Roman"/>
          <w:sz w:val="20"/>
          <w:szCs w:val="20"/>
        </w:rPr>
        <w:t xml:space="preserve">S. </w:t>
      </w:r>
      <w:r w:rsidRPr="00570190">
        <w:rPr>
          <w:rFonts w:ascii="Times New Roman" w:hAnsi="Times New Roman" w:cs="Times New Roman"/>
          <w:smallCaps/>
          <w:sz w:val="20"/>
          <w:szCs w:val="20"/>
        </w:rPr>
        <w:t xml:space="preserve">Maljean-Dubois, </w:t>
      </w:r>
      <w:r w:rsidRPr="00570190">
        <w:rPr>
          <w:rFonts w:ascii="Times New Roman" w:hAnsi="Times New Roman" w:cs="Times New Roman"/>
          <w:i/>
          <w:iCs/>
          <w:sz w:val="20"/>
          <w:szCs w:val="20"/>
        </w:rPr>
        <w:t>op. cit.,</w:t>
      </w:r>
      <w:r w:rsidRPr="00570190">
        <w:rPr>
          <w:rFonts w:ascii="Times New Roman" w:hAnsi="Times New Roman" w:cs="Times New Roman"/>
          <w:iCs/>
          <w:sz w:val="20"/>
          <w:szCs w:val="20"/>
        </w:rPr>
        <w:t>p. 394.</w:t>
      </w:r>
    </w:p>
  </w:footnote>
  <w:footnote w:id="523">
    <w:p w14:paraId="415701B6" w14:textId="2739487F" w:rsidR="00C14253" w:rsidRPr="00570190" w:rsidRDefault="00C14253" w:rsidP="00EF6DD4">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B. </w:t>
      </w:r>
      <w:r w:rsidRPr="00570190">
        <w:rPr>
          <w:rFonts w:ascii="Times New Roman" w:hAnsi="Times New Roman" w:cs="Times New Roman"/>
          <w:smallCaps/>
          <w:sz w:val="20"/>
          <w:szCs w:val="20"/>
        </w:rPr>
        <w:t>Stern, H. Ruiz Fabri</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The Case-Law of the WTO, La jurisprudence de l’OMC, 1998</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p. 56.</w:t>
      </w:r>
    </w:p>
  </w:footnote>
  <w:footnote w:id="524">
    <w:p w14:paraId="41E9790F" w14:textId="1B0A29BF"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Hormones</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Rapport de l’Organe d’appel, §124.</w:t>
      </w:r>
    </w:p>
  </w:footnote>
  <w:footnote w:id="525">
    <w:p w14:paraId="34D61B67" w14:textId="77777777"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mallCaps/>
          <w:sz w:val="20"/>
          <w:szCs w:val="20"/>
          <w:lang w:val="nl-NL"/>
        </w:rPr>
        <w:t>H. Ruiz Fabri</w:t>
      </w:r>
      <w:r w:rsidRPr="00570190">
        <w:rPr>
          <w:rFonts w:ascii="Times New Roman" w:hAnsi="Times New Roman" w:cs="Times New Roman"/>
          <w:sz w:val="20"/>
          <w:szCs w:val="20"/>
          <w:lang w:val="nl-NL"/>
        </w:rPr>
        <w:t>, “La prise en compte du principe de précaution par l’OMC”, Revue juridique de l’environnement, 2000 (n° spécial), pp. 55-66, p. 60.</w:t>
      </w:r>
    </w:p>
  </w:footnote>
  <w:footnote w:id="526">
    <w:p w14:paraId="14E607ED" w14:textId="77777777"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Voir </w:t>
      </w:r>
      <w:r w:rsidRPr="00570190">
        <w:rPr>
          <w:rFonts w:ascii="Times New Roman" w:hAnsi="Times New Roman" w:cs="Times New Roman"/>
          <w:smallCaps/>
          <w:sz w:val="20"/>
          <w:szCs w:val="20"/>
          <w:lang w:val="nl-NL"/>
        </w:rPr>
        <w:t>G. Marceau</w:t>
      </w:r>
      <w:r w:rsidRPr="00570190">
        <w:rPr>
          <w:rFonts w:ascii="Times New Roman" w:hAnsi="Times New Roman" w:cs="Times New Roman"/>
          <w:sz w:val="20"/>
          <w:szCs w:val="20"/>
          <w:lang w:val="nl-NL"/>
        </w:rPr>
        <w:t xml:space="preserve">, “Le principe de précaution et les règles de l’Organisation mondiale du commerce”, </w:t>
      </w:r>
      <w:r w:rsidRPr="00570190">
        <w:rPr>
          <w:rFonts w:ascii="Times New Roman" w:hAnsi="Times New Roman" w:cs="Times New Roman"/>
          <w:i/>
          <w:sz w:val="20"/>
          <w:szCs w:val="20"/>
          <w:lang w:val="nl-NL"/>
        </w:rPr>
        <w:t xml:space="preserve">in </w:t>
      </w:r>
      <w:r w:rsidRPr="00570190">
        <w:rPr>
          <w:rFonts w:ascii="Times New Roman" w:hAnsi="Times New Roman" w:cs="Times New Roman"/>
          <w:sz w:val="20"/>
          <w:szCs w:val="20"/>
          <w:lang w:val="nl-NL"/>
        </w:rPr>
        <w:t xml:space="preserve">Ch. Leben, </w:t>
      </w:r>
      <w:r w:rsidRPr="00570190">
        <w:rPr>
          <w:rFonts w:ascii="Times New Roman" w:hAnsi="Times New Roman" w:cs="Times New Roman"/>
          <w:smallCaps/>
          <w:sz w:val="20"/>
          <w:szCs w:val="20"/>
          <w:lang w:val="nl-NL"/>
        </w:rPr>
        <w:t>J. Verhoeven</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pp. 131-149, p. 148.</w:t>
      </w:r>
    </w:p>
  </w:footnote>
  <w:footnote w:id="527">
    <w:p w14:paraId="57CAC9D7" w14:textId="77777777"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Contra</w:t>
      </w:r>
      <w:r w:rsidRPr="00570190">
        <w:rPr>
          <w:rFonts w:ascii="Times New Roman" w:hAnsi="Times New Roman" w:cs="Times New Roman"/>
          <w:sz w:val="20"/>
          <w:szCs w:val="20"/>
          <w:lang w:val="nl-NL"/>
        </w:rPr>
        <w:t xml:space="preserve">, </w:t>
      </w:r>
      <w:r w:rsidRPr="00570190">
        <w:rPr>
          <w:rFonts w:ascii="Times New Roman" w:hAnsi="Times New Roman" w:cs="Times New Roman"/>
          <w:smallCaps/>
          <w:sz w:val="20"/>
          <w:szCs w:val="20"/>
          <w:lang w:val="nl-NL"/>
        </w:rPr>
        <w:t>H. Hey</w:t>
      </w:r>
      <w:r w:rsidRPr="00570190">
        <w:rPr>
          <w:rFonts w:ascii="Times New Roman" w:hAnsi="Times New Roman" w:cs="Times New Roman"/>
          <w:sz w:val="20"/>
          <w:szCs w:val="20"/>
          <w:lang w:val="nl-NL"/>
        </w:rPr>
        <w:t xml:space="preserve">, “Considerations Regarding the </w:t>
      </w:r>
      <w:r w:rsidRPr="00570190">
        <w:rPr>
          <w:rFonts w:ascii="Times New Roman" w:hAnsi="Times New Roman" w:cs="Times New Roman"/>
          <w:i/>
          <w:sz w:val="20"/>
          <w:szCs w:val="20"/>
          <w:lang w:val="nl-NL"/>
        </w:rPr>
        <w:t>Hormones Case</w:t>
      </w:r>
      <w:r w:rsidRPr="00570190">
        <w:rPr>
          <w:rFonts w:ascii="Times New Roman" w:hAnsi="Times New Roman" w:cs="Times New Roman"/>
          <w:sz w:val="20"/>
          <w:szCs w:val="20"/>
          <w:lang w:val="nl-NL"/>
        </w:rPr>
        <w:t xml:space="preserve">, the Precautionary Principle and International Dispute Procedures”, </w:t>
      </w:r>
      <w:r w:rsidRPr="00570190">
        <w:rPr>
          <w:rFonts w:ascii="Times New Roman" w:hAnsi="Times New Roman" w:cs="Times New Roman"/>
          <w:i/>
          <w:sz w:val="20"/>
          <w:szCs w:val="20"/>
          <w:lang w:val="nl-NL"/>
        </w:rPr>
        <w:t>LJIL</w:t>
      </w:r>
      <w:r w:rsidRPr="00570190">
        <w:rPr>
          <w:rFonts w:ascii="Times New Roman" w:hAnsi="Times New Roman" w:cs="Times New Roman"/>
          <w:sz w:val="20"/>
          <w:szCs w:val="20"/>
          <w:lang w:val="nl-NL"/>
        </w:rPr>
        <w:t xml:space="preserve">, 2000, pp. 239-248, p. 244; </w:t>
      </w:r>
      <w:r w:rsidRPr="00570190">
        <w:rPr>
          <w:rFonts w:ascii="Times New Roman" w:hAnsi="Times New Roman" w:cs="Times New Roman"/>
          <w:smallCaps/>
          <w:sz w:val="20"/>
          <w:szCs w:val="20"/>
          <w:lang w:val="nl-NL"/>
        </w:rPr>
        <w:t>C. Noiville</w:t>
      </w:r>
      <w:r w:rsidRPr="00570190">
        <w:rPr>
          <w:rFonts w:ascii="Times New Roman" w:hAnsi="Times New Roman" w:cs="Times New Roman"/>
          <w:sz w:val="20"/>
          <w:szCs w:val="20"/>
          <w:lang w:val="nl-NL"/>
        </w:rPr>
        <w:t xml:space="preserve">, “Principe de précaution et Organisation mondiale du commerce. Le cas du commerce alimentaire”, </w:t>
      </w:r>
      <w:r w:rsidRPr="00570190">
        <w:rPr>
          <w:rFonts w:ascii="Times New Roman" w:hAnsi="Times New Roman" w:cs="Times New Roman"/>
          <w:i/>
          <w:sz w:val="20"/>
          <w:szCs w:val="20"/>
          <w:lang w:val="nl-NL"/>
        </w:rPr>
        <w:t>JDI</w:t>
      </w:r>
      <w:r w:rsidRPr="00570190">
        <w:rPr>
          <w:rFonts w:ascii="Times New Roman" w:hAnsi="Times New Roman" w:cs="Times New Roman"/>
          <w:sz w:val="20"/>
          <w:szCs w:val="20"/>
          <w:lang w:val="nl-NL"/>
        </w:rPr>
        <w:t xml:space="preserve">, 2000, pp. 263-297, p. 268; </w:t>
      </w:r>
      <w:r w:rsidRPr="00570190">
        <w:rPr>
          <w:rFonts w:ascii="Times New Roman" w:hAnsi="Times New Roman" w:cs="Times New Roman"/>
          <w:smallCaps/>
          <w:sz w:val="20"/>
          <w:szCs w:val="20"/>
          <w:lang w:val="nl-NL"/>
        </w:rPr>
        <w:t>N. De Sadeleer</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Environmental Principles. From Political Slogans to Legal Rules,</w:t>
      </w:r>
      <w:r w:rsidRPr="00570190">
        <w:rPr>
          <w:rFonts w:ascii="Times New Roman" w:hAnsi="Times New Roman" w:cs="Times New Roman"/>
          <w:sz w:val="20"/>
          <w:szCs w:val="20"/>
          <w:lang w:val="nl-NL"/>
        </w:rPr>
        <w:t xml:space="preserve"> Oxford, Oxford University Press, 2002, p. 349.</w:t>
      </w:r>
    </w:p>
  </w:footnote>
  <w:footnote w:id="528">
    <w:p w14:paraId="19AE2688" w14:textId="3ABBB1CD"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lang w:val="nl-NL"/>
        </w:rPr>
        <w:t xml:space="preserve"> C. Noiville</w:t>
      </w:r>
      <w:r w:rsidRPr="00570190">
        <w:rPr>
          <w:rFonts w:ascii="Times New Roman" w:hAnsi="Times New Roman" w:cs="Times New Roman"/>
          <w:sz w:val="20"/>
          <w:szCs w:val="20"/>
          <w:lang w:val="nl-NL"/>
        </w:rPr>
        <w:t xml:space="preserve">, </w:t>
      </w:r>
      <w:r w:rsidRPr="00570190">
        <w:rPr>
          <w:rFonts w:ascii="Times New Roman" w:hAnsi="Times New Roman" w:cs="Times New Roman"/>
          <w:i/>
          <w:sz w:val="20"/>
          <w:szCs w:val="20"/>
          <w:lang w:val="nl-NL"/>
        </w:rPr>
        <w:t>op. cit.</w:t>
      </w:r>
      <w:r w:rsidRPr="00570190">
        <w:rPr>
          <w:rFonts w:ascii="Times New Roman" w:hAnsi="Times New Roman" w:cs="Times New Roman"/>
          <w:sz w:val="20"/>
          <w:szCs w:val="20"/>
          <w:lang w:val="nl-NL"/>
        </w:rPr>
        <w:t>, p. 298.</w:t>
      </w:r>
    </w:p>
  </w:footnote>
  <w:footnote w:id="529">
    <w:p w14:paraId="4908F8B0" w14:textId="3D14FBA1"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B. </w:t>
      </w:r>
      <w:r w:rsidRPr="00570190">
        <w:rPr>
          <w:rFonts w:ascii="Times New Roman" w:hAnsi="Times New Roman" w:cs="Times New Roman"/>
          <w:smallCaps/>
          <w:sz w:val="20"/>
          <w:szCs w:val="20"/>
        </w:rPr>
        <w:t xml:space="preserve">Stern, H. Ruiz Fabri, </w:t>
      </w:r>
      <w:r w:rsidRPr="00570190">
        <w:rPr>
          <w:rFonts w:ascii="Times New Roman" w:hAnsi="Times New Roman" w:cs="Times New Roman"/>
          <w:i/>
          <w:sz w:val="20"/>
          <w:szCs w:val="20"/>
        </w:rPr>
        <w:t>The Case-Law of the WTO, La jurisprudence de l’OMC, 1998</w:t>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op. cit.</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p. 71.</w:t>
      </w:r>
    </w:p>
  </w:footnote>
  <w:footnote w:id="530">
    <w:p w14:paraId="78394423" w14:textId="6977CC8F" w:rsidR="00C14253" w:rsidRPr="00570190" w:rsidRDefault="00C14253" w:rsidP="00D3639F">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H. </w:t>
      </w:r>
      <w:r w:rsidRPr="00570190">
        <w:rPr>
          <w:rFonts w:ascii="Times New Roman" w:hAnsi="Times New Roman" w:cs="Times New Roman"/>
          <w:smallCaps/>
          <w:sz w:val="20"/>
          <w:szCs w:val="20"/>
        </w:rPr>
        <w:t xml:space="preserve">Horn, C.  Mavroidis, Petros, </w:t>
      </w:r>
      <w:r w:rsidRPr="00570190">
        <w:rPr>
          <w:rFonts w:ascii="Times New Roman" w:hAnsi="Times New Roman" w:cs="Times New Roman"/>
          <w:sz w:val="20"/>
          <w:szCs w:val="20"/>
        </w:rPr>
        <w:t xml:space="preserve">« The WTO case law of 2006-2007 : Legal and Economic Analysis », </w:t>
      </w:r>
      <w:r w:rsidRPr="00570190">
        <w:rPr>
          <w:rFonts w:ascii="Times New Roman" w:hAnsi="Times New Roman" w:cs="Times New Roman"/>
          <w:i/>
          <w:sz w:val="20"/>
          <w:szCs w:val="20"/>
        </w:rPr>
        <w:t xml:space="preserve">The American Law Institute, </w:t>
      </w:r>
      <w:r w:rsidRPr="00570190">
        <w:rPr>
          <w:rFonts w:ascii="Times New Roman" w:hAnsi="Times New Roman" w:cs="Times New Roman"/>
          <w:sz w:val="20"/>
          <w:szCs w:val="20"/>
        </w:rPr>
        <w:t>Cambridge, Cambridge University Press, 2009, p. 71.</w:t>
      </w:r>
    </w:p>
  </w:footnote>
  <w:footnote w:id="531">
    <w:p w14:paraId="0C9F6506" w14:textId="36787242" w:rsidR="00C14253" w:rsidRPr="00570190" w:rsidRDefault="00C14253" w:rsidP="0067092A">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p</w:t>
      </w:r>
      <w:r w:rsidRPr="00570190">
        <w:rPr>
          <w:rFonts w:ascii="Times New Roman" w:hAnsi="Times New Roman" w:cs="Times New Roman"/>
          <w:sz w:val="20"/>
          <w:szCs w:val="20"/>
          <w:lang w:val="nl-NL"/>
        </w:rPr>
        <w:t xml:space="preserve">p. 55-56. </w:t>
      </w:r>
    </w:p>
  </w:footnote>
  <w:footnote w:id="532">
    <w:p w14:paraId="59F34795" w14:textId="330CD34F" w:rsidR="00C14253" w:rsidRPr="00570190" w:rsidRDefault="00C14253" w:rsidP="0067092A">
      <w:pPr>
        <w:jc w:val="both"/>
        <w:rPr>
          <w:rFonts w:ascii="Times New Roman" w:hAnsi="Times New Roman" w:cs="Times New Roman"/>
          <w:sz w:val="20"/>
          <w:szCs w:val="20"/>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Ibid.,</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 xml:space="preserve">p. 56. </w:t>
      </w:r>
    </w:p>
  </w:footnote>
  <w:footnote w:id="533">
    <w:p w14:paraId="650E0601" w14:textId="12F04A66"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lang w:val="nl-NL"/>
        </w:rPr>
        <w:t>Ibid.</w:t>
      </w:r>
      <w:r w:rsidRPr="00570190">
        <w:rPr>
          <w:rFonts w:ascii="Times New Roman" w:hAnsi="Times New Roman" w:cs="Times New Roman"/>
          <w:sz w:val="20"/>
          <w:szCs w:val="20"/>
          <w:lang w:val="nl-NL"/>
        </w:rPr>
        <w:t>, p. 56.</w:t>
      </w:r>
    </w:p>
  </w:footnote>
  <w:footnote w:id="534">
    <w:p w14:paraId="66093D43" w14:textId="77777777"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z w:val="20"/>
          <w:szCs w:val="20"/>
        </w:rPr>
        <w:t xml:space="preserve"> </w:t>
      </w:r>
      <w:r w:rsidRPr="00570190">
        <w:rPr>
          <w:rFonts w:ascii="Times New Roman" w:hAnsi="Times New Roman" w:cs="Times New Roman"/>
          <w:i/>
          <w:sz w:val="20"/>
          <w:szCs w:val="20"/>
        </w:rPr>
        <w:t>Hormones</w:t>
      </w:r>
      <w:r w:rsidRPr="00570190">
        <w:rPr>
          <w:rFonts w:ascii="Times New Roman" w:hAnsi="Times New Roman" w:cs="Times New Roman"/>
          <w:sz w:val="20"/>
          <w:szCs w:val="20"/>
        </w:rPr>
        <w:t xml:space="preserve">, </w:t>
      </w:r>
      <w:r w:rsidRPr="00570190">
        <w:rPr>
          <w:rFonts w:ascii="Times New Roman" w:hAnsi="Times New Roman" w:cs="Times New Roman"/>
          <w:sz w:val="20"/>
          <w:szCs w:val="20"/>
          <w:lang w:val="nl-NL"/>
        </w:rPr>
        <w:t>rapport de l’Organe d’appel, §§124-125.</w:t>
      </w:r>
    </w:p>
  </w:footnote>
  <w:footnote w:id="535">
    <w:p w14:paraId="0B801892" w14:textId="5CB84772" w:rsidR="00C14253" w:rsidRPr="00570190" w:rsidRDefault="00C14253" w:rsidP="00126F69">
      <w:pPr>
        <w:pStyle w:val="Notedebasdepage"/>
        <w:jc w:val="both"/>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i/>
          <w:sz w:val="20"/>
          <w:szCs w:val="20"/>
          <w:lang w:val="nl-NL"/>
        </w:rPr>
        <w:t xml:space="preserve"> Ibid.</w:t>
      </w:r>
      <w:r w:rsidRPr="00570190">
        <w:rPr>
          <w:rFonts w:ascii="Times New Roman" w:hAnsi="Times New Roman" w:cs="Times New Roman"/>
          <w:sz w:val="20"/>
          <w:szCs w:val="20"/>
          <w:lang w:val="nl-NL"/>
        </w:rPr>
        <w:t>, §177.</w:t>
      </w:r>
    </w:p>
  </w:footnote>
  <w:footnote w:id="536">
    <w:p w14:paraId="257AAB49" w14:textId="77777777" w:rsidR="00C14253" w:rsidRPr="00570190" w:rsidRDefault="00C14253" w:rsidP="00891A59">
      <w:pPr>
        <w:pStyle w:val="Notedebasdepage"/>
        <w:rPr>
          <w:rFonts w:ascii="Times New Roman" w:hAnsi="Times New Roman" w:cs="Times New Roman"/>
          <w:sz w:val="20"/>
          <w:szCs w:val="20"/>
          <w:lang w:val="nl-NL"/>
        </w:rPr>
      </w:pPr>
      <w:r w:rsidRPr="00570190">
        <w:rPr>
          <w:rStyle w:val="Marquenotebasdepage"/>
          <w:rFonts w:ascii="Times New Roman" w:hAnsi="Times New Roman" w:cs="Times New Roman"/>
          <w:sz w:val="20"/>
          <w:szCs w:val="20"/>
        </w:rPr>
        <w:footnoteRef/>
      </w:r>
      <w:r w:rsidRPr="00570190">
        <w:rPr>
          <w:rFonts w:ascii="Times New Roman" w:hAnsi="Times New Roman" w:cs="Times New Roman"/>
          <w:smallCaps/>
          <w:sz w:val="20"/>
          <w:szCs w:val="20"/>
          <w:lang w:val="nl-NL"/>
        </w:rPr>
        <w:t xml:space="preserve">  M. Prost, </w:t>
      </w:r>
      <w:r w:rsidRPr="00570190">
        <w:rPr>
          <w:rFonts w:ascii="Times New Roman" w:hAnsi="Times New Roman" w:cs="Times New Roman"/>
          <w:i/>
          <w:sz w:val="20"/>
          <w:szCs w:val="20"/>
        </w:rPr>
        <w:t>op. cit,</w:t>
      </w:r>
      <w:r w:rsidRPr="00570190">
        <w:rPr>
          <w:rFonts w:ascii="Times New Roman" w:hAnsi="Times New Roman" w:cs="Times New Roman"/>
          <w:sz w:val="20"/>
          <w:szCs w:val="20"/>
          <w:lang w:val="nl-NL"/>
        </w:rPr>
        <w:t>, p. 21.</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0"/>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4376846"/>
    <w:multiLevelType w:val="hybridMultilevel"/>
    <w:tmpl w:val="E376D582"/>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AB32C53"/>
    <w:multiLevelType w:val="hybridMultilevel"/>
    <w:tmpl w:val="9F064CA8"/>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B737827"/>
    <w:multiLevelType w:val="hybridMultilevel"/>
    <w:tmpl w:val="AAFAD1B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8DC683F"/>
    <w:multiLevelType w:val="hybridMultilevel"/>
    <w:tmpl w:val="BD8E8D16"/>
    <w:lvl w:ilvl="0" w:tplc="2B2EEAA0">
      <w:start w:val="1"/>
      <w:numFmt w:val="upperLetter"/>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5">
    <w:nsid w:val="1BAB1362"/>
    <w:multiLevelType w:val="hybridMultilevel"/>
    <w:tmpl w:val="409AE8A4"/>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236C2C50"/>
    <w:multiLevelType w:val="hybridMultilevel"/>
    <w:tmpl w:val="9DE280C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97C28C3"/>
    <w:multiLevelType w:val="hybridMultilevel"/>
    <w:tmpl w:val="EB826FD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32C900D8"/>
    <w:multiLevelType w:val="multilevel"/>
    <w:tmpl w:val="C416203C"/>
    <w:lvl w:ilvl="0">
      <w:start w:val="1"/>
      <w:numFmt w:val="upperRoman"/>
      <w:pStyle w:val="Titre1"/>
      <w:lvlText w:val="%1."/>
      <w:lvlJc w:val="left"/>
      <w:pPr>
        <w:tabs>
          <w:tab w:val="num" w:pos="720"/>
        </w:tabs>
        <w:ind w:left="720" w:hanging="720"/>
      </w:pPr>
    </w:lvl>
    <w:lvl w:ilvl="1">
      <w:start w:val="1"/>
      <w:numFmt w:val="upperLetter"/>
      <w:pStyle w:val="Titre2"/>
      <w:lvlText w:val="%2."/>
      <w:lvlJc w:val="left"/>
      <w:pPr>
        <w:tabs>
          <w:tab w:val="num" w:pos="720"/>
        </w:tabs>
        <w:ind w:left="720" w:hanging="720"/>
      </w:pPr>
    </w:lvl>
    <w:lvl w:ilvl="2">
      <w:start w:val="1"/>
      <w:numFmt w:val="decimal"/>
      <w:pStyle w:val="Titre3"/>
      <w:lvlText w:val="%3."/>
      <w:lvlJc w:val="left"/>
      <w:pPr>
        <w:tabs>
          <w:tab w:val="num" w:pos="720"/>
        </w:tabs>
        <w:ind w:left="720" w:hanging="720"/>
      </w:pPr>
    </w:lvl>
    <w:lvl w:ilvl="3">
      <w:start w:val="1"/>
      <w:numFmt w:val="lowerLetter"/>
      <w:pStyle w:val="Titre4"/>
      <w:lvlText w:val="%4)"/>
      <w:lvlJc w:val="left"/>
      <w:pPr>
        <w:tabs>
          <w:tab w:val="num" w:pos="720"/>
        </w:tabs>
        <w:ind w:left="720" w:hanging="720"/>
      </w:pPr>
    </w:lvl>
    <w:lvl w:ilvl="4">
      <w:start w:val="1"/>
      <w:numFmt w:val="lowerRoman"/>
      <w:pStyle w:val="Titre5"/>
      <w:lvlText w:val="%5)"/>
      <w:lvlJc w:val="left"/>
      <w:pPr>
        <w:tabs>
          <w:tab w:val="num" w:pos="720"/>
        </w:tabs>
        <w:ind w:left="720" w:hanging="720"/>
      </w:pPr>
    </w:lvl>
    <w:lvl w:ilvl="5">
      <w:start w:val="1"/>
      <w:numFmt w:val="decimal"/>
      <w:lvlRestart w:val="0"/>
      <w:pStyle w:val="Corpsdetexte"/>
      <w:lvlText w:val="%6."/>
      <w:lvlJc w:val="left"/>
      <w:pPr>
        <w:tabs>
          <w:tab w:val="num" w:pos="360"/>
        </w:tabs>
        <w:ind w:left="0" w:firstLine="0"/>
      </w:pPr>
    </w:lvl>
    <w:lvl w:ilvl="6">
      <w:start w:val="1"/>
      <w:numFmt w:val="lowerLetter"/>
      <w:pStyle w:val="Corpsdetexte2"/>
      <w:lvlText w:val="%7)"/>
      <w:lvlJc w:val="left"/>
      <w:pPr>
        <w:tabs>
          <w:tab w:val="num" w:pos="1440"/>
        </w:tabs>
        <w:ind w:left="1440" w:hanging="720"/>
      </w:pPr>
    </w:lvl>
    <w:lvl w:ilvl="7">
      <w:start w:val="1"/>
      <w:numFmt w:val="lowerRoman"/>
      <w:pStyle w:val="Corpsdetexte3"/>
      <w:lvlText w:val="%8)"/>
      <w:lvlJc w:val="left"/>
      <w:pPr>
        <w:tabs>
          <w:tab w:val="num" w:pos="2160"/>
        </w:tabs>
        <w:ind w:left="2160" w:hanging="720"/>
      </w:pPr>
    </w:lvl>
    <w:lvl w:ilvl="8">
      <w:start w:val="1"/>
      <w:numFmt w:val="none"/>
      <w:pStyle w:val="Corpsdetexte4"/>
      <w:lvlText w:val="-"/>
      <w:lvlJc w:val="left"/>
      <w:pPr>
        <w:tabs>
          <w:tab w:val="num" w:pos="2160"/>
        </w:tabs>
        <w:ind w:left="2160" w:hanging="720"/>
      </w:pPr>
    </w:lvl>
  </w:abstractNum>
  <w:abstractNum w:abstractNumId="9">
    <w:nsid w:val="39A953A1"/>
    <w:multiLevelType w:val="hybridMultilevel"/>
    <w:tmpl w:val="404868A0"/>
    <w:lvl w:ilvl="0" w:tplc="040C0015">
      <w:start w:val="6"/>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43E03751"/>
    <w:multiLevelType w:val="hybridMultilevel"/>
    <w:tmpl w:val="3E5E23D4"/>
    <w:lvl w:ilvl="0" w:tplc="040C000F">
      <w:start w:val="1"/>
      <w:numFmt w:val="decimal"/>
      <w:lvlText w:val="%1."/>
      <w:lvlJc w:val="left"/>
      <w:pPr>
        <w:ind w:left="1776" w:hanging="360"/>
      </w:pPr>
      <w:rPr>
        <w:rFonts w:hint="default"/>
      </w:rPr>
    </w:lvl>
    <w:lvl w:ilvl="1" w:tplc="040C0019" w:tentative="1">
      <w:start w:val="1"/>
      <w:numFmt w:val="lowerLetter"/>
      <w:lvlText w:val="%2."/>
      <w:lvlJc w:val="left"/>
      <w:pPr>
        <w:ind w:left="2496" w:hanging="360"/>
      </w:pPr>
    </w:lvl>
    <w:lvl w:ilvl="2" w:tplc="040C001B" w:tentative="1">
      <w:start w:val="1"/>
      <w:numFmt w:val="lowerRoman"/>
      <w:lvlText w:val="%3."/>
      <w:lvlJc w:val="right"/>
      <w:pPr>
        <w:ind w:left="3216" w:hanging="180"/>
      </w:pPr>
    </w:lvl>
    <w:lvl w:ilvl="3" w:tplc="040C000F" w:tentative="1">
      <w:start w:val="1"/>
      <w:numFmt w:val="decimal"/>
      <w:lvlText w:val="%4."/>
      <w:lvlJc w:val="left"/>
      <w:pPr>
        <w:ind w:left="3936" w:hanging="360"/>
      </w:pPr>
    </w:lvl>
    <w:lvl w:ilvl="4" w:tplc="040C0019" w:tentative="1">
      <w:start w:val="1"/>
      <w:numFmt w:val="lowerLetter"/>
      <w:lvlText w:val="%5."/>
      <w:lvlJc w:val="left"/>
      <w:pPr>
        <w:ind w:left="4656" w:hanging="360"/>
      </w:pPr>
    </w:lvl>
    <w:lvl w:ilvl="5" w:tplc="040C001B" w:tentative="1">
      <w:start w:val="1"/>
      <w:numFmt w:val="lowerRoman"/>
      <w:lvlText w:val="%6."/>
      <w:lvlJc w:val="right"/>
      <w:pPr>
        <w:ind w:left="5376" w:hanging="180"/>
      </w:pPr>
    </w:lvl>
    <w:lvl w:ilvl="6" w:tplc="040C000F" w:tentative="1">
      <w:start w:val="1"/>
      <w:numFmt w:val="decimal"/>
      <w:lvlText w:val="%7."/>
      <w:lvlJc w:val="left"/>
      <w:pPr>
        <w:ind w:left="6096" w:hanging="360"/>
      </w:pPr>
    </w:lvl>
    <w:lvl w:ilvl="7" w:tplc="040C0019" w:tentative="1">
      <w:start w:val="1"/>
      <w:numFmt w:val="lowerLetter"/>
      <w:lvlText w:val="%8."/>
      <w:lvlJc w:val="left"/>
      <w:pPr>
        <w:ind w:left="6816" w:hanging="360"/>
      </w:pPr>
    </w:lvl>
    <w:lvl w:ilvl="8" w:tplc="040C001B" w:tentative="1">
      <w:start w:val="1"/>
      <w:numFmt w:val="lowerRoman"/>
      <w:lvlText w:val="%9."/>
      <w:lvlJc w:val="right"/>
      <w:pPr>
        <w:ind w:left="7536" w:hanging="180"/>
      </w:pPr>
    </w:lvl>
  </w:abstractNum>
  <w:abstractNum w:abstractNumId="11">
    <w:nsid w:val="542436A2"/>
    <w:multiLevelType w:val="hybridMultilevel"/>
    <w:tmpl w:val="E9AAA166"/>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57F75E5E"/>
    <w:multiLevelType w:val="hybridMultilevel"/>
    <w:tmpl w:val="409AE8A4"/>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580A2F2E"/>
    <w:multiLevelType w:val="hybridMultilevel"/>
    <w:tmpl w:val="CA0810F4"/>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5E244DA2"/>
    <w:multiLevelType w:val="hybridMultilevel"/>
    <w:tmpl w:val="3E5E23D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688A439D"/>
    <w:multiLevelType w:val="hybridMultilevel"/>
    <w:tmpl w:val="BC70AAE0"/>
    <w:lvl w:ilvl="0" w:tplc="2CEE0618">
      <w:start w:val="1"/>
      <w:numFmt w:val="upperLetter"/>
      <w:lvlText w:val="%1."/>
      <w:lvlJc w:val="left"/>
      <w:pPr>
        <w:ind w:left="2140" w:hanging="720"/>
      </w:pPr>
      <w:rPr>
        <w:rFonts w:asciiTheme="minorHAnsi" w:eastAsiaTheme="minorEastAsia" w:hAnsiTheme="minorHAnsi" w:cstheme="minorBidi"/>
      </w:rPr>
    </w:lvl>
    <w:lvl w:ilvl="1" w:tplc="FD4CFEAC">
      <w:start w:val="1"/>
      <w:numFmt w:val="decimal"/>
      <w:lvlText w:val="%2."/>
      <w:lvlJc w:val="left"/>
      <w:pPr>
        <w:ind w:left="2500" w:hanging="360"/>
      </w:pPr>
      <w:rPr>
        <w:rFonts w:asciiTheme="minorHAnsi" w:eastAsiaTheme="minorEastAsia" w:hAnsiTheme="minorHAnsi" w:cstheme="minorBidi"/>
      </w:rPr>
    </w:lvl>
    <w:lvl w:ilvl="2" w:tplc="027A40C2">
      <w:start w:val="1"/>
      <w:numFmt w:val="decimal"/>
      <w:lvlText w:val="%3."/>
      <w:lvlJc w:val="left"/>
      <w:pPr>
        <w:ind w:left="3400" w:hanging="360"/>
      </w:pPr>
      <w:rPr>
        <w:rFonts w:hint="default"/>
      </w:rPr>
    </w:lvl>
    <w:lvl w:ilvl="3" w:tplc="040C000F" w:tentative="1">
      <w:start w:val="1"/>
      <w:numFmt w:val="decimal"/>
      <w:lvlText w:val="%4."/>
      <w:lvlJc w:val="left"/>
      <w:pPr>
        <w:ind w:left="3940" w:hanging="360"/>
      </w:pPr>
    </w:lvl>
    <w:lvl w:ilvl="4" w:tplc="040C0019" w:tentative="1">
      <w:start w:val="1"/>
      <w:numFmt w:val="lowerLetter"/>
      <w:lvlText w:val="%5."/>
      <w:lvlJc w:val="left"/>
      <w:pPr>
        <w:ind w:left="4660" w:hanging="360"/>
      </w:pPr>
    </w:lvl>
    <w:lvl w:ilvl="5" w:tplc="040C001B" w:tentative="1">
      <w:start w:val="1"/>
      <w:numFmt w:val="lowerRoman"/>
      <w:lvlText w:val="%6."/>
      <w:lvlJc w:val="right"/>
      <w:pPr>
        <w:ind w:left="5380" w:hanging="180"/>
      </w:pPr>
    </w:lvl>
    <w:lvl w:ilvl="6" w:tplc="040C000F" w:tentative="1">
      <w:start w:val="1"/>
      <w:numFmt w:val="decimal"/>
      <w:lvlText w:val="%7."/>
      <w:lvlJc w:val="left"/>
      <w:pPr>
        <w:ind w:left="6100" w:hanging="360"/>
      </w:pPr>
    </w:lvl>
    <w:lvl w:ilvl="7" w:tplc="040C0019" w:tentative="1">
      <w:start w:val="1"/>
      <w:numFmt w:val="lowerLetter"/>
      <w:lvlText w:val="%8."/>
      <w:lvlJc w:val="left"/>
      <w:pPr>
        <w:ind w:left="6820" w:hanging="360"/>
      </w:pPr>
    </w:lvl>
    <w:lvl w:ilvl="8" w:tplc="040C001B" w:tentative="1">
      <w:start w:val="1"/>
      <w:numFmt w:val="lowerRoman"/>
      <w:lvlText w:val="%9."/>
      <w:lvlJc w:val="right"/>
      <w:pPr>
        <w:ind w:left="7540" w:hanging="180"/>
      </w:pPr>
    </w:lvl>
  </w:abstractNum>
  <w:abstractNum w:abstractNumId="16">
    <w:nsid w:val="6ECD0C9E"/>
    <w:multiLevelType w:val="hybridMultilevel"/>
    <w:tmpl w:val="5AA26BA8"/>
    <w:lvl w:ilvl="0" w:tplc="040C0015">
      <w:start w:val="3"/>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77490A96"/>
    <w:multiLevelType w:val="hybridMultilevel"/>
    <w:tmpl w:val="30F45924"/>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77C21D91"/>
    <w:multiLevelType w:val="hybridMultilevel"/>
    <w:tmpl w:val="D9C86ACE"/>
    <w:lvl w:ilvl="0" w:tplc="8D94F7CC">
      <w:start w:val="1"/>
      <w:numFmt w:val="upperLetter"/>
      <w:lvlText w:val="%1."/>
      <w:lvlJc w:val="left"/>
      <w:pPr>
        <w:ind w:left="2148" w:hanging="720"/>
      </w:pPr>
      <w:rPr>
        <w:rFonts w:asciiTheme="minorHAnsi" w:eastAsiaTheme="minorEastAsia" w:hAnsiTheme="minorHAnsi" w:cstheme="minorBidi"/>
      </w:rPr>
    </w:lvl>
    <w:lvl w:ilvl="1" w:tplc="CD96B044">
      <w:start w:val="1"/>
      <w:numFmt w:val="decimal"/>
      <w:lvlText w:val="%2."/>
      <w:lvlJc w:val="left"/>
      <w:pPr>
        <w:ind w:left="2508" w:hanging="360"/>
      </w:pPr>
      <w:rPr>
        <w:rFonts w:asciiTheme="minorHAnsi" w:eastAsiaTheme="minorEastAsia" w:hAnsiTheme="minorHAnsi" w:cstheme="minorBidi"/>
      </w:rPr>
    </w:lvl>
    <w:lvl w:ilvl="2" w:tplc="040C001B">
      <w:start w:val="1"/>
      <w:numFmt w:val="lowerRoman"/>
      <w:lvlText w:val="%3."/>
      <w:lvlJc w:val="right"/>
      <w:pPr>
        <w:ind w:left="3228" w:hanging="180"/>
      </w:pPr>
    </w:lvl>
    <w:lvl w:ilvl="3" w:tplc="040C000F" w:tentative="1">
      <w:start w:val="1"/>
      <w:numFmt w:val="decimal"/>
      <w:lvlText w:val="%4."/>
      <w:lvlJc w:val="left"/>
      <w:pPr>
        <w:ind w:left="3948" w:hanging="360"/>
      </w:pPr>
    </w:lvl>
    <w:lvl w:ilvl="4" w:tplc="040C0019" w:tentative="1">
      <w:start w:val="1"/>
      <w:numFmt w:val="lowerLetter"/>
      <w:lvlText w:val="%5."/>
      <w:lvlJc w:val="left"/>
      <w:pPr>
        <w:ind w:left="4668" w:hanging="360"/>
      </w:pPr>
    </w:lvl>
    <w:lvl w:ilvl="5" w:tplc="040C001B" w:tentative="1">
      <w:start w:val="1"/>
      <w:numFmt w:val="lowerRoman"/>
      <w:lvlText w:val="%6."/>
      <w:lvlJc w:val="right"/>
      <w:pPr>
        <w:ind w:left="5388" w:hanging="180"/>
      </w:pPr>
    </w:lvl>
    <w:lvl w:ilvl="6" w:tplc="040C000F" w:tentative="1">
      <w:start w:val="1"/>
      <w:numFmt w:val="decimal"/>
      <w:lvlText w:val="%7."/>
      <w:lvlJc w:val="left"/>
      <w:pPr>
        <w:ind w:left="6108" w:hanging="360"/>
      </w:pPr>
    </w:lvl>
    <w:lvl w:ilvl="7" w:tplc="040C0019" w:tentative="1">
      <w:start w:val="1"/>
      <w:numFmt w:val="lowerLetter"/>
      <w:lvlText w:val="%8."/>
      <w:lvlJc w:val="left"/>
      <w:pPr>
        <w:ind w:left="6828" w:hanging="360"/>
      </w:pPr>
    </w:lvl>
    <w:lvl w:ilvl="8" w:tplc="040C001B" w:tentative="1">
      <w:start w:val="1"/>
      <w:numFmt w:val="lowerRoman"/>
      <w:lvlText w:val="%9."/>
      <w:lvlJc w:val="right"/>
      <w:pPr>
        <w:ind w:left="7548" w:hanging="180"/>
      </w:pPr>
    </w:lvl>
  </w:abstractNum>
  <w:abstractNum w:abstractNumId="19">
    <w:nsid w:val="7DD51C90"/>
    <w:multiLevelType w:val="hybridMultilevel"/>
    <w:tmpl w:val="F1A872FA"/>
    <w:lvl w:ilvl="0" w:tplc="040C0015">
      <w:start w:val="2"/>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
  </w:num>
  <w:num w:numId="2">
    <w:abstractNumId w:val="5"/>
  </w:num>
  <w:num w:numId="3">
    <w:abstractNumId w:val="12"/>
  </w:num>
  <w:num w:numId="4">
    <w:abstractNumId w:val="0"/>
  </w:num>
  <w:num w:numId="5">
    <w:abstractNumId w:val="1"/>
  </w:num>
  <w:num w:numId="6">
    <w:abstractNumId w:val="17"/>
  </w:num>
  <w:num w:numId="7">
    <w:abstractNumId w:val="10"/>
  </w:num>
  <w:num w:numId="8">
    <w:abstractNumId w:val="16"/>
  </w:num>
  <w:num w:numId="9">
    <w:abstractNumId w:val="14"/>
  </w:num>
  <w:num w:numId="10">
    <w:abstractNumId w:val="13"/>
  </w:num>
  <w:num w:numId="11">
    <w:abstractNumId w:val="3"/>
  </w:num>
  <w:num w:numId="12">
    <w:abstractNumId w:val="6"/>
  </w:num>
  <w:num w:numId="13">
    <w:abstractNumId w:val="19"/>
  </w:num>
  <w:num w:numId="14">
    <w:abstractNumId w:val="9"/>
  </w:num>
  <w:num w:numId="15">
    <w:abstractNumId w:val="11"/>
  </w:num>
  <w:num w:numId="16">
    <w:abstractNumId w:val="4"/>
  </w:num>
  <w:num w:numId="17">
    <w:abstractNumId w:val="7"/>
  </w:num>
  <w:num w:numId="18">
    <w:abstractNumId w:val="15"/>
  </w:num>
  <w:num w:numId="19">
    <w:abstractNumId w:val="18"/>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53AA"/>
    <w:rsid w:val="00001599"/>
    <w:rsid w:val="00001C4E"/>
    <w:rsid w:val="00004E6E"/>
    <w:rsid w:val="00006AE0"/>
    <w:rsid w:val="000156C8"/>
    <w:rsid w:val="000168E7"/>
    <w:rsid w:val="000175E8"/>
    <w:rsid w:val="0002255B"/>
    <w:rsid w:val="00022A87"/>
    <w:rsid w:val="00022F1B"/>
    <w:rsid w:val="0003321B"/>
    <w:rsid w:val="000478F3"/>
    <w:rsid w:val="00052622"/>
    <w:rsid w:val="000539C4"/>
    <w:rsid w:val="00053ADD"/>
    <w:rsid w:val="00061FF9"/>
    <w:rsid w:val="0006318F"/>
    <w:rsid w:val="00072172"/>
    <w:rsid w:val="00073B6C"/>
    <w:rsid w:val="000751B6"/>
    <w:rsid w:val="00080648"/>
    <w:rsid w:val="0008066D"/>
    <w:rsid w:val="0009487B"/>
    <w:rsid w:val="00096BC9"/>
    <w:rsid w:val="00096CED"/>
    <w:rsid w:val="0009782A"/>
    <w:rsid w:val="000A2A3F"/>
    <w:rsid w:val="000B04AE"/>
    <w:rsid w:val="000B54AD"/>
    <w:rsid w:val="000B6F2C"/>
    <w:rsid w:val="000B7662"/>
    <w:rsid w:val="000C12ED"/>
    <w:rsid w:val="000C1D11"/>
    <w:rsid w:val="000C41D0"/>
    <w:rsid w:val="000D2D26"/>
    <w:rsid w:val="000D362F"/>
    <w:rsid w:val="000D5C74"/>
    <w:rsid w:val="000D5EB1"/>
    <w:rsid w:val="000F4E90"/>
    <w:rsid w:val="00100419"/>
    <w:rsid w:val="001014C2"/>
    <w:rsid w:val="0010536A"/>
    <w:rsid w:val="0010586A"/>
    <w:rsid w:val="00105FCE"/>
    <w:rsid w:val="00107FD5"/>
    <w:rsid w:val="00111226"/>
    <w:rsid w:val="00111836"/>
    <w:rsid w:val="00116E15"/>
    <w:rsid w:val="00117BE1"/>
    <w:rsid w:val="0012036B"/>
    <w:rsid w:val="00122DB8"/>
    <w:rsid w:val="00124B11"/>
    <w:rsid w:val="00126E6B"/>
    <w:rsid w:val="00126F69"/>
    <w:rsid w:val="001271FD"/>
    <w:rsid w:val="00127E1B"/>
    <w:rsid w:val="0013619C"/>
    <w:rsid w:val="00155461"/>
    <w:rsid w:val="00155FED"/>
    <w:rsid w:val="001611EB"/>
    <w:rsid w:val="00164456"/>
    <w:rsid w:val="001644C4"/>
    <w:rsid w:val="00165503"/>
    <w:rsid w:val="001722DE"/>
    <w:rsid w:val="0018135B"/>
    <w:rsid w:val="00183B56"/>
    <w:rsid w:val="00193AE0"/>
    <w:rsid w:val="00194606"/>
    <w:rsid w:val="001A2ED3"/>
    <w:rsid w:val="001B15CE"/>
    <w:rsid w:val="001B21C5"/>
    <w:rsid w:val="001B2640"/>
    <w:rsid w:val="001C6BCD"/>
    <w:rsid w:val="001D1ECC"/>
    <w:rsid w:val="001D2870"/>
    <w:rsid w:val="001D5683"/>
    <w:rsid w:val="001D7CBC"/>
    <w:rsid w:val="001D7F49"/>
    <w:rsid w:val="001E2D6C"/>
    <w:rsid w:val="001E6FE1"/>
    <w:rsid w:val="001F0C50"/>
    <w:rsid w:val="001F76CA"/>
    <w:rsid w:val="00200456"/>
    <w:rsid w:val="00203891"/>
    <w:rsid w:val="00207536"/>
    <w:rsid w:val="0021717D"/>
    <w:rsid w:val="0022014D"/>
    <w:rsid w:val="00223382"/>
    <w:rsid w:val="002258BC"/>
    <w:rsid w:val="0023239D"/>
    <w:rsid w:val="00232432"/>
    <w:rsid w:val="00233366"/>
    <w:rsid w:val="00234945"/>
    <w:rsid w:val="002509B4"/>
    <w:rsid w:val="002551FB"/>
    <w:rsid w:val="002620D3"/>
    <w:rsid w:val="00290FFF"/>
    <w:rsid w:val="0029372B"/>
    <w:rsid w:val="00297106"/>
    <w:rsid w:val="002A5620"/>
    <w:rsid w:val="002B02E7"/>
    <w:rsid w:val="002B327C"/>
    <w:rsid w:val="002B6767"/>
    <w:rsid w:val="002B67F6"/>
    <w:rsid w:val="002B73FE"/>
    <w:rsid w:val="002F01CA"/>
    <w:rsid w:val="00301EC3"/>
    <w:rsid w:val="00310B7A"/>
    <w:rsid w:val="00315595"/>
    <w:rsid w:val="00324BCC"/>
    <w:rsid w:val="003276E4"/>
    <w:rsid w:val="00332AF0"/>
    <w:rsid w:val="003335E8"/>
    <w:rsid w:val="00336DE2"/>
    <w:rsid w:val="003536E7"/>
    <w:rsid w:val="00364E23"/>
    <w:rsid w:val="00371F39"/>
    <w:rsid w:val="00377B43"/>
    <w:rsid w:val="00380882"/>
    <w:rsid w:val="00381990"/>
    <w:rsid w:val="00385484"/>
    <w:rsid w:val="00390DC9"/>
    <w:rsid w:val="00393BC8"/>
    <w:rsid w:val="003A3574"/>
    <w:rsid w:val="003A3733"/>
    <w:rsid w:val="003A4BE5"/>
    <w:rsid w:val="003B5B66"/>
    <w:rsid w:val="003C701C"/>
    <w:rsid w:val="003D2BD1"/>
    <w:rsid w:val="003E4F47"/>
    <w:rsid w:val="003E741C"/>
    <w:rsid w:val="003F30A7"/>
    <w:rsid w:val="003F5580"/>
    <w:rsid w:val="003F686F"/>
    <w:rsid w:val="003F71B4"/>
    <w:rsid w:val="00404769"/>
    <w:rsid w:val="004055D0"/>
    <w:rsid w:val="00427F6C"/>
    <w:rsid w:val="00431BE4"/>
    <w:rsid w:val="0043235D"/>
    <w:rsid w:val="0043680C"/>
    <w:rsid w:val="00442905"/>
    <w:rsid w:val="0044787B"/>
    <w:rsid w:val="004659CA"/>
    <w:rsid w:val="004669E6"/>
    <w:rsid w:val="00467230"/>
    <w:rsid w:val="0047126E"/>
    <w:rsid w:val="0047158A"/>
    <w:rsid w:val="00477D94"/>
    <w:rsid w:val="004829F1"/>
    <w:rsid w:val="00483709"/>
    <w:rsid w:val="00486221"/>
    <w:rsid w:val="0048705F"/>
    <w:rsid w:val="00487557"/>
    <w:rsid w:val="004A5861"/>
    <w:rsid w:val="004B60AC"/>
    <w:rsid w:val="004B619C"/>
    <w:rsid w:val="004B61BC"/>
    <w:rsid w:val="004B7EA7"/>
    <w:rsid w:val="004C080D"/>
    <w:rsid w:val="004C13E3"/>
    <w:rsid w:val="004C6A89"/>
    <w:rsid w:val="004E4F36"/>
    <w:rsid w:val="004E4F7C"/>
    <w:rsid w:val="004F04B8"/>
    <w:rsid w:val="004F49E7"/>
    <w:rsid w:val="004F6367"/>
    <w:rsid w:val="00500567"/>
    <w:rsid w:val="00501AEC"/>
    <w:rsid w:val="005065A9"/>
    <w:rsid w:val="00507891"/>
    <w:rsid w:val="00510A26"/>
    <w:rsid w:val="00513674"/>
    <w:rsid w:val="00520179"/>
    <w:rsid w:val="0052410F"/>
    <w:rsid w:val="005246FD"/>
    <w:rsid w:val="00527DA7"/>
    <w:rsid w:val="00530F53"/>
    <w:rsid w:val="005314D2"/>
    <w:rsid w:val="00533054"/>
    <w:rsid w:val="005354AF"/>
    <w:rsid w:val="0053628C"/>
    <w:rsid w:val="00537B39"/>
    <w:rsid w:val="0054134C"/>
    <w:rsid w:val="00542769"/>
    <w:rsid w:val="005441C2"/>
    <w:rsid w:val="0054505C"/>
    <w:rsid w:val="00545D33"/>
    <w:rsid w:val="005522CF"/>
    <w:rsid w:val="00560C74"/>
    <w:rsid w:val="00563D87"/>
    <w:rsid w:val="005655F8"/>
    <w:rsid w:val="00570190"/>
    <w:rsid w:val="00580B70"/>
    <w:rsid w:val="00592A28"/>
    <w:rsid w:val="00593AB7"/>
    <w:rsid w:val="005946F0"/>
    <w:rsid w:val="00597D28"/>
    <w:rsid w:val="005A5AC9"/>
    <w:rsid w:val="005C3771"/>
    <w:rsid w:val="005C5127"/>
    <w:rsid w:val="005D2B9E"/>
    <w:rsid w:val="005D4E81"/>
    <w:rsid w:val="005D6868"/>
    <w:rsid w:val="005E682D"/>
    <w:rsid w:val="005F2794"/>
    <w:rsid w:val="005F41B2"/>
    <w:rsid w:val="005F7C9D"/>
    <w:rsid w:val="00601E85"/>
    <w:rsid w:val="00605504"/>
    <w:rsid w:val="006078EB"/>
    <w:rsid w:val="00612240"/>
    <w:rsid w:val="00613052"/>
    <w:rsid w:val="006219FC"/>
    <w:rsid w:val="0062497B"/>
    <w:rsid w:val="00624F4C"/>
    <w:rsid w:val="00630C68"/>
    <w:rsid w:val="00630DA8"/>
    <w:rsid w:val="00633E84"/>
    <w:rsid w:val="00640C1D"/>
    <w:rsid w:val="00641744"/>
    <w:rsid w:val="006612F2"/>
    <w:rsid w:val="00662DA9"/>
    <w:rsid w:val="0067092A"/>
    <w:rsid w:val="006720EC"/>
    <w:rsid w:val="00672F65"/>
    <w:rsid w:val="00673725"/>
    <w:rsid w:val="00675EED"/>
    <w:rsid w:val="00683A44"/>
    <w:rsid w:val="00685272"/>
    <w:rsid w:val="00687AE4"/>
    <w:rsid w:val="00691416"/>
    <w:rsid w:val="00696434"/>
    <w:rsid w:val="006A2836"/>
    <w:rsid w:val="006A319B"/>
    <w:rsid w:val="006A3458"/>
    <w:rsid w:val="006B048E"/>
    <w:rsid w:val="006B08FC"/>
    <w:rsid w:val="006B2694"/>
    <w:rsid w:val="006B574A"/>
    <w:rsid w:val="006C687E"/>
    <w:rsid w:val="006C72EE"/>
    <w:rsid w:val="006D435D"/>
    <w:rsid w:val="006E6962"/>
    <w:rsid w:val="006F4505"/>
    <w:rsid w:val="006F4C77"/>
    <w:rsid w:val="006F7158"/>
    <w:rsid w:val="006F71E6"/>
    <w:rsid w:val="00701508"/>
    <w:rsid w:val="00703B5E"/>
    <w:rsid w:val="00712AFD"/>
    <w:rsid w:val="00714495"/>
    <w:rsid w:val="00715561"/>
    <w:rsid w:val="00720D92"/>
    <w:rsid w:val="0072310E"/>
    <w:rsid w:val="00725961"/>
    <w:rsid w:val="0073066E"/>
    <w:rsid w:val="00733BCD"/>
    <w:rsid w:val="00734435"/>
    <w:rsid w:val="007477B1"/>
    <w:rsid w:val="00747DAD"/>
    <w:rsid w:val="007513BD"/>
    <w:rsid w:val="007624E3"/>
    <w:rsid w:val="00784BBA"/>
    <w:rsid w:val="00792264"/>
    <w:rsid w:val="0079521C"/>
    <w:rsid w:val="00795688"/>
    <w:rsid w:val="007A29B5"/>
    <w:rsid w:val="007A7E60"/>
    <w:rsid w:val="007B370F"/>
    <w:rsid w:val="007B5EBF"/>
    <w:rsid w:val="007C3833"/>
    <w:rsid w:val="007C58AF"/>
    <w:rsid w:val="007C7AC3"/>
    <w:rsid w:val="007D1528"/>
    <w:rsid w:val="007E3317"/>
    <w:rsid w:val="007E46BE"/>
    <w:rsid w:val="007E71E6"/>
    <w:rsid w:val="007E7A93"/>
    <w:rsid w:val="007F3BB5"/>
    <w:rsid w:val="007F582B"/>
    <w:rsid w:val="007F73E9"/>
    <w:rsid w:val="008076B4"/>
    <w:rsid w:val="00807A77"/>
    <w:rsid w:val="008100E2"/>
    <w:rsid w:val="00811FBF"/>
    <w:rsid w:val="008167EA"/>
    <w:rsid w:val="00825043"/>
    <w:rsid w:val="00825BAD"/>
    <w:rsid w:val="0082604A"/>
    <w:rsid w:val="008269E0"/>
    <w:rsid w:val="008310F5"/>
    <w:rsid w:val="0083562D"/>
    <w:rsid w:val="00835B9F"/>
    <w:rsid w:val="00835E77"/>
    <w:rsid w:val="00837DE7"/>
    <w:rsid w:val="0084425D"/>
    <w:rsid w:val="0084639C"/>
    <w:rsid w:val="00846860"/>
    <w:rsid w:val="00847646"/>
    <w:rsid w:val="00852FF4"/>
    <w:rsid w:val="00854A80"/>
    <w:rsid w:val="00865B5F"/>
    <w:rsid w:val="00871449"/>
    <w:rsid w:val="008745A4"/>
    <w:rsid w:val="00877501"/>
    <w:rsid w:val="00881870"/>
    <w:rsid w:val="00885B7F"/>
    <w:rsid w:val="00886662"/>
    <w:rsid w:val="008872C1"/>
    <w:rsid w:val="0089064A"/>
    <w:rsid w:val="00891A59"/>
    <w:rsid w:val="00892250"/>
    <w:rsid w:val="008953AA"/>
    <w:rsid w:val="008C047A"/>
    <w:rsid w:val="008C2EBD"/>
    <w:rsid w:val="008C3E7A"/>
    <w:rsid w:val="008C7D75"/>
    <w:rsid w:val="008D6B7A"/>
    <w:rsid w:val="008D7589"/>
    <w:rsid w:val="008E094E"/>
    <w:rsid w:val="008E35ED"/>
    <w:rsid w:val="008E515D"/>
    <w:rsid w:val="009010FD"/>
    <w:rsid w:val="00902FC9"/>
    <w:rsid w:val="00904F6B"/>
    <w:rsid w:val="0090573A"/>
    <w:rsid w:val="00905FD6"/>
    <w:rsid w:val="00906CB5"/>
    <w:rsid w:val="00910620"/>
    <w:rsid w:val="00912210"/>
    <w:rsid w:val="00912C85"/>
    <w:rsid w:val="009158DE"/>
    <w:rsid w:val="00917D30"/>
    <w:rsid w:val="0092223F"/>
    <w:rsid w:val="00924830"/>
    <w:rsid w:val="00924C11"/>
    <w:rsid w:val="00926974"/>
    <w:rsid w:val="00930500"/>
    <w:rsid w:val="00931D58"/>
    <w:rsid w:val="00932717"/>
    <w:rsid w:val="00932B63"/>
    <w:rsid w:val="009330E6"/>
    <w:rsid w:val="00941AFB"/>
    <w:rsid w:val="00943FB0"/>
    <w:rsid w:val="00953ADD"/>
    <w:rsid w:val="00954132"/>
    <w:rsid w:val="009574D2"/>
    <w:rsid w:val="009623F1"/>
    <w:rsid w:val="009655C0"/>
    <w:rsid w:val="0096764D"/>
    <w:rsid w:val="00970F33"/>
    <w:rsid w:val="009718A3"/>
    <w:rsid w:val="00972A69"/>
    <w:rsid w:val="00975DB0"/>
    <w:rsid w:val="0098119A"/>
    <w:rsid w:val="0098266F"/>
    <w:rsid w:val="009833E4"/>
    <w:rsid w:val="009848D8"/>
    <w:rsid w:val="00991C46"/>
    <w:rsid w:val="00995BF9"/>
    <w:rsid w:val="00996B0B"/>
    <w:rsid w:val="009A441B"/>
    <w:rsid w:val="009A6B5E"/>
    <w:rsid w:val="009B4135"/>
    <w:rsid w:val="009B755B"/>
    <w:rsid w:val="009D1306"/>
    <w:rsid w:val="009D1595"/>
    <w:rsid w:val="009D736B"/>
    <w:rsid w:val="009F2261"/>
    <w:rsid w:val="009F2E5F"/>
    <w:rsid w:val="009F41AE"/>
    <w:rsid w:val="009F608E"/>
    <w:rsid w:val="009F7034"/>
    <w:rsid w:val="00A009A7"/>
    <w:rsid w:val="00A024F0"/>
    <w:rsid w:val="00A10845"/>
    <w:rsid w:val="00A11F77"/>
    <w:rsid w:val="00A1724F"/>
    <w:rsid w:val="00A23593"/>
    <w:rsid w:val="00A23AEC"/>
    <w:rsid w:val="00A263B6"/>
    <w:rsid w:val="00A30F4E"/>
    <w:rsid w:val="00A41248"/>
    <w:rsid w:val="00A44156"/>
    <w:rsid w:val="00A6661E"/>
    <w:rsid w:val="00A76667"/>
    <w:rsid w:val="00A8167A"/>
    <w:rsid w:val="00A83ED0"/>
    <w:rsid w:val="00A857F8"/>
    <w:rsid w:val="00A862D7"/>
    <w:rsid w:val="00A919C3"/>
    <w:rsid w:val="00A91D9B"/>
    <w:rsid w:val="00A939A7"/>
    <w:rsid w:val="00AA3B2C"/>
    <w:rsid w:val="00AA65B5"/>
    <w:rsid w:val="00AA7126"/>
    <w:rsid w:val="00AB1B3C"/>
    <w:rsid w:val="00AB360E"/>
    <w:rsid w:val="00AB5387"/>
    <w:rsid w:val="00AC3892"/>
    <w:rsid w:val="00AC4183"/>
    <w:rsid w:val="00AD0516"/>
    <w:rsid w:val="00AD2594"/>
    <w:rsid w:val="00AD4E8D"/>
    <w:rsid w:val="00AE660B"/>
    <w:rsid w:val="00AE6A7F"/>
    <w:rsid w:val="00AE730A"/>
    <w:rsid w:val="00AF39FF"/>
    <w:rsid w:val="00AF6D18"/>
    <w:rsid w:val="00B06B01"/>
    <w:rsid w:val="00B075CE"/>
    <w:rsid w:val="00B13477"/>
    <w:rsid w:val="00B1544F"/>
    <w:rsid w:val="00B27B79"/>
    <w:rsid w:val="00B30C6B"/>
    <w:rsid w:val="00B36B73"/>
    <w:rsid w:val="00B40341"/>
    <w:rsid w:val="00B44152"/>
    <w:rsid w:val="00B44BEA"/>
    <w:rsid w:val="00B46EEB"/>
    <w:rsid w:val="00B54CE4"/>
    <w:rsid w:val="00B5577A"/>
    <w:rsid w:val="00B601EE"/>
    <w:rsid w:val="00B610E7"/>
    <w:rsid w:val="00B64AFA"/>
    <w:rsid w:val="00B662C0"/>
    <w:rsid w:val="00B66CA7"/>
    <w:rsid w:val="00B66D4A"/>
    <w:rsid w:val="00B722A8"/>
    <w:rsid w:val="00B76B04"/>
    <w:rsid w:val="00B8236D"/>
    <w:rsid w:val="00B857DC"/>
    <w:rsid w:val="00B913FE"/>
    <w:rsid w:val="00B95196"/>
    <w:rsid w:val="00B976A1"/>
    <w:rsid w:val="00BA05A5"/>
    <w:rsid w:val="00BA2BAC"/>
    <w:rsid w:val="00BA7691"/>
    <w:rsid w:val="00BB35B6"/>
    <w:rsid w:val="00BB50AC"/>
    <w:rsid w:val="00BC7381"/>
    <w:rsid w:val="00BD0438"/>
    <w:rsid w:val="00BD4830"/>
    <w:rsid w:val="00BE3568"/>
    <w:rsid w:val="00BE548C"/>
    <w:rsid w:val="00BE54B7"/>
    <w:rsid w:val="00BE7E9A"/>
    <w:rsid w:val="00BF2AA0"/>
    <w:rsid w:val="00BF73F5"/>
    <w:rsid w:val="00C03488"/>
    <w:rsid w:val="00C04370"/>
    <w:rsid w:val="00C051E5"/>
    <w:rsid w:val="00C106AB"/>
    <w:rsid w:val="00C12EF2"/>
    <w:rsid w:val="00C14253"/>
    <w:rsid w:val="00C1710C"/>
    <w:rsid w:val="00C224B3"/>
    <w:rsid w:val="00C30540"/>
    <w:rsid w:val="00C310F6"/>
    <w:rsid w:val="00C33B43"/>
    <w:rsid w:val="00C35350"/>
    <w:rsid w:val="00C3679D"/>
    <w:rsid w:val="00C50359"/>
    <w:rsid w:val="00C576C4"/>
    <w:rsid w:val="00C6437C"/>
    <w:rsid w:val="00C663CB"/>
    <w:rsid w:val="00C73ED2"/>
    <w:rsid w:val="00C74422"/>
    <w:rsid w:val="00C804D2"/>
    <w:rsid w:val="00C818FF"/>
    <w:rsid w:val="00C83DF9"/>
    <w:rsid w:val="00C866C7"/>
    <w:rsid w:val="00C87C4D"/>
    <w:rsid w:val="00C93D3F"/>
    <w:rsid w:val="00C94779"/>
    <w:rsid w:val="00CA3667"/>
    <w:rsid w:val="00CA66A4"/>
    <w:rsid w:val="00CB10B1"/>
    <w:rsid w:val="00CB529D"/>
    <w:rsid w:val="00CC38AD"/>
    <w:rsid w:val="00CD1C78"/>
    <w:rsid w:val="00CD6275"/>
    <w:rsid w:val="00CD63E6"/>
    <w:rsid w:val="00CD7594"/>
    <w:rsid w:val="00CE04C9"/>
    <w:rsid w:val="00CE588A"/>
    <w:rsid w:val="00CE7F1F"/>
    <w:rsid w:val="00CF3282"/>
    <w:rsid w:val="00CF4680"/>
    <w:rsid w:val="00CF6A1A"/>
    <w:rsid w:val="00D01484"/>
    <w:rsid w:val="00D02854"/>
    <w:rsid w:val="00D14664"/>
    <w:rsid w:val="00D2101D"/>
    <w:rsid w:val="00D22A94"/>
    <w:rsid w:val="00D22CFE"/>
    <w:rsid w:val="00D23657"/>
    <w:rsid w:val="00D3052C"/>
    <w:rsid w:val="00D35785"/>
    <w:rsid w:val="00D3639F"/>
    <w:rsid w:val="00D40C4B"/>
    <w:rsid w:val="00D40F36"/>
    <w:rsid w:val="00D41956"/>
    <w:rsid w:val="00D43F07"/>
    <w:rsid w:val="00D4737D"/>
    <w:rsid w:val="00D47CAC"/>
    <w:rsid w:val="00D53376"/>
    <w:rsid w:val="00D544DD"/>
    <w:rsid w:val="00D54534"/>
    <w:rsid w:val="00D56F00"/>
    <w:rsid w:val="00D57E94"/>
    <w:rsid w:val="00D64A74"/>
    <w:rsid w:val="00D7191A"/>
    <w:rsid w:val="00D77AA6"/>
    <w:rsid w:val="00D82D8C"/>
    <w:rsid w:val="00D83848"/>
    <w:rsid w:val="00D865E2"/>
    <w:rsid w:val="00D908A0"/>
    <w:rsid w:val="00D919E9"/>
    <w:rsid w:val="00D922D3"/>
    <w:rsid w:val="00D93103"/>
    <w:rsid w:val="00D9658F"/>
    <w:rsid w:val="00DA27EF"/>
    <w:rsid w:val="00DA6955"/>
    <w:rsid w:val="00DB2F59"/>
    <w:rsid w:val="00DB4300"/>
    <w:rsid w:val="00DB4F8E"/>
    <w:rsid w:val="00DB5B5C"/>
    <w:rsid w:val="00DC0837"/>
    <w:rsid w:val="00DC7163"/>
    <w:rsid w:val="00DD5917"/>
    <w:rsid w:val="00DD6862"/>
    <w:rsid w:val="00DE4BC5"/>
    <w:rsid w:val="00DE62CE"/>
    <w:rsid w:val="00DE66FD"/>
    <w:rsid w:val="00DF2F54"/>
    <w:rsid w:val="00DF669B"/>
    <w:rsid w:val="00E04136"/>
    <w:rsid w:val="00E041D5"/>
    <w:rsid w:val="00E1147D"/>
    <w:rsid w:val="00E11973"/>
    <w:rsid w:val="00E11F81"/>
    <w:rsid w:val="00E15A86"/>
    <w:rsid w:val="00E163DA"/>
    <w:rsid w:val="00E174E4"/>
    <w:rsid w:val="00E1798B"/>
    <w:rsid w:val="00E248C0"/>
    <w:rsid w:val="00E27253"/>
    <w:rsid w:val="00E27EC7"/>
    <w:rsid w:val="00E36E95"/>
    <w:rsid w:val="00E41A2D"/>
    <w:rsid w:val="00E42F1C"/>
    <w:rsid w:val="00E444D6"/>
    <w:rsid w:val="00E55283"/>
    <w:rsid w:val="00E60118"/>
    <w:rsid w:val="00E61DAC"/>
    <w:rsid w:val="00E67CC1"/>
    <w:rsid w:val="00E7145E"/>
    <w:rsid w:val="00E7329A"/>
    <w:rsid w:val="00E77699"/>
    <w:rsid w:val="00E87F9C"/>
    <w:rsid w:val="00E9299F"/>
    <w:rsid w:val="00E95CAC"/>
    <w:rsid w:val="00EA1DA8"/>
    <w:rsid w:val="00EA5069"/>
    <w:rsid w:val="00EB027C"/>
    <w:rsid w:val="00EB084C"/>
    <w:rsid w:val="00EB19AE"/>
    <w:rsid w:val="00EB2BB9"/>
    <w:rsid w:val="00EB2BC1"/>
    <w:rsid w:val="00ED4DAC"/>
    <w:rsid w:val="00EE0C75"/>
    <w:rsid w:val="00EE34CB"/>
    <w:rsid w:val="00EF0C9D"/>
    <w:rsid w:val="00EF6928"/>
    <w:rsid w:val="00EF6DD4"/>
    <w:rsid w:val="00F00297"/>
    <w:rsid w:val="00F07291"/>
    <w:rsid w:val="00F1114B"/>
    <w:rsid w:val="00F2275F"/>
    <w:rsid w:val="00F3200A"/>
    <w:rsid w:val="00F401DB"/>
    <w:rsid w:val="00F40CEF"/>
    <w:rsid w:val="00F4739C"/>
    <w:rsid w:val="00F50C82"/>
    <w:rsid w:val="00F547B7"/>
    <w:rsid w:val="00F574B4"/>
    <w:rsid w:val="00F60C85"/>
    <w:rsid w:val="00F62E6D"/>
    <w:rsid w:val="00F62FB6"/>
    <w:rsid w:val="00F65F4A"/>
    <w:rsid w:val="00F924B6"/>
    <w:rsid w:val="00F927F3"/>
    <w:rsid w:val="00F95CCC"/>
    <w:rsid w:val="00FA3E80"/>
    <w:rsid w:val="00FA5394"/>
    <w:rsid w:val="00FA5813"/>
    <w:rsid w:val="00FC1C88"/>
    <w:rsid w:val="00FD6C9A"/>
    <w:rsid w:val="00FD6DE0"/>
    <w:rsid w:val="00FE2912"/>
    <w:rsid w:val="00FE5F4A"/>
    <w:rsid w:val="00FE6B33"/>
    <w:rsid w:val="00FF4D4A"/>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9FBA68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53AA"/>
  </w:style>
  <w:style w:type="paragraph" w:styleId="Titre1">
    <w:name w:val="heading 1"/>
    <w:basedOn w:val="Normal"/>
    <w:next w:val="Titre2"/>
    <w:link w:val="Titre1Car"/>
    <w:qFormat/>
    <w:rsid w:val="006A3458"/>
    <w:pPr>
      <w:keepNext/>
      <w:numPr>
        <w:numId w:val="20"/>
      </w:numPr>
      <w:tabs>
        <w:tab w:val="left" w:pos="720"/>
      </w:tabs>
      <w:spacing w:after="240"/>
      <w:jc w:val="both"/>
      <w:outlineLvl w:val="0"/>
    </w:pPr>
    <w:rPr>
      <w:rFonts w:ascii="Times New Roman" w:eastAsia="Times New Roman" w:hAnsi="Times New Roman" w:cs="Times New Roman"/>
      <w:b/>
      <w:caps/>
      <w:sz w:val="22"/>
      <w:szCs w:val="20"/>
    </w:rPr>
  </w:style>
  <w:style w:type="paragraph" w:styleId="Titre2">
    <w:name w:val="heading 2"/>
    <w:basedOn w:val="Normal"/>
    <w:next w:val="Titre3"/>
    <w:link w:val="Titre2Car"/>
    <w:qFormat/>
    <w:rsid w:val="006A3458"/>
    <w:pPr>
      <w:keepNext/>
      <w:numPr>
        <w:ilvl w:val="1"/>
        <w:numId w:val="20"/>
      </w:numPr>
      <w:tabs>
        <w:tab w:val="left" w:pos="720"/>
      </w:tabs>
      <w:spacing w:after="240"/>
      <w:jc w:val="both"/>
      <w:outlineLvl w:val="1"/>
    </w:pPr>
    <w:rPr>
      <w:rFonts w:ascii="Times New Roman" w:eastAsia="Times New Roman" w:hAnsi="Times New Roman" w:cs="Times New Roman"/>
      <w:smallCaps/>
      <w:sz w:val="22"/>
      <w:szCs w:val="20"/>
    </w:rPr>
  </w:style>
  <w:style w:type="paragraph" w:styleId="Titre3">
    <w:name w:val="heading 3"/>
    <w:basedOn w:val="Normal"/>
    <w:next w:val="Titre4"/>
    <w:link w:val="Titre3Car"/>
    <w:qFormat/>
    <w:rsid w:val="006A3458"/>
    <w:pPr>
      <w:keepNext/>
      <w:numPr>
        <w:ilvl w:val="2"/>
        <w:numId w:val="20"/>
      </w:numPr>
      <w:tabs>
        <w:tab w:val="left" w:pos="720"/>
      </w:tabs>
      <w:spacing w:after="240"/>
      <w:jc w:val="both"/>
      <w:outlineLvl w:val="2"/>
    </w:pPr>
    <w:rPr>
      <w:rFonts w:ascii="Times New Roman" w:eastAsia="Times New Roman" w:hAnsi="Times New Roman" w:cs="Times New Roman"/>
      <w:b/>
      <w:sz w:val="22"/>
      <w:szCs w:val="20"/>
    </w:rPr>
  </w:style>
  <w:style w:type="paragraph" w:styleId="Titre4">
    <w:name w:val="heading 4"/>
    <w:basedOn w:val="Normal"/>
    <w:next w:val="Titre5"/>
    <w:link w:val="Titre4Car"/>
    <w:qFormat/>
    <w:rsid w:val="006A3458"/>
    <w:pPr>
      <w:keepNext/>
      <w:numPr>
        <w:ilvl w:val="3"/>
        <w:numId w:val="20"/>
      </w:numPr>
      <w:tabs>
        <w:tab w:val="left" w:pos="720"/>
      </w:tabs>
      <w:spacing w:after="240"/>
      <w:jc w:val="both"/>
      <w:outlineLvl w:val="3"/>
    </w:pPr>
    <w:rPr>
      <w:rFonts w:ascii="Times New Roman" w:eastAsia="Times New Roman" w:hAnsi="Times New Roman" w:cs="Times New Roman"/>
      <w:sz w:val="22"/>
      <w:szCs w:val="20"/>
    </w:rPr>
  </w:style>
  <w:style w:type="paragraph" w:styleId="Titre5">
    <w:name w:val="heading 5"/>
    <w:basedOn w:val="Normal"/>
    <w:next w:val="Corpsdetexte"/>
    <w:link w:val="Titre5Car"/>
    <w:qFormat/>
    <w:rsid w:val="006A3458"/>
    <w:pPr>
      <w:keepNext/>
      <w:numPr>
        <w:ilvl w:val="4"/>
        <w:numId w:val="20"/>
      </w:numPr>
      <w:tabs>
        <w:tab w:val="left" w:pos="720"/>
      </w:tabs>
      <w:spacing w:after="240"/>
      <w:jc w:val="both"/>
      <w:outlineLvl w:val="4"/>
    </w:pPr>
    <w:rPr>
      <w:rFonts w:ascii="Times New Roman" w:eastAsia="Times New Roman" w:hAnsi="Times New Roman" w:cs="Times New Roman"/>
      <w:i/>
      <w:sz w:val="22"/>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8953AA"/>
  </w:style>
  <w:style w:type="character" w:customStyle="1" w:styleId="NotedebasdepageCar">
    <w:name w:val="Note de bas de page Car"/>
    <w:basedOn w:val="Policepardfaut"/>
    <w:link w:val="Notedebasdepage"/>
    <w:uiPriority w:val="99"/>
    <w:rsid w:val="008953AA"/>
  </w:style>
  <w:style w:type="character" w:styleId="Marquenotebasdepage">
    <w:name w:val="footnote reference"/>
    <w:basedOn w:val="Policepardfaut"/>
    <w:uiPriority w:val="99"/>
    <w:unhideWhenUsed/>
    <w:rsid w:val="008953AA"/>
    <w:rPr>
      <w:vertAlign w:val="superscript"/>
    </w:rPr>
  </w:style>
  <w:style w:type="paragraph" w:styleId="Paragraphedeliste">
    <w:name w:val="List Paragraph"/>
    <w:basedOn w:val="Normal"/>
    <w:uiPriority w:val="34"/>
    <w:qFormat/>
    <w:rsid w:val="008953AA"/>
    <w:pPr>
      <w:ind w:left="720"/>
      <w:contextualSpacing/>
    </w:pPr>
  </w:style>
  <w:style w:type="paragraph" w:styleId="NormalWeb">
    <w:name w:val="Normal (Web)"/>
    <w:basedOn w:val="Normal"/>
    <w:uiPriority w:val="99"/>
    <w:unhideWhenUsed/>
    <w:rsid w:val="00BA05A5"/>
    <w:pPr>
      <w:spacing w:before="100" w:beforeAutospacing="1" w:after="100" w:afterAutospacing="1"/>
    </w:pPr>
    <w:rPr>
      <w:rFonts w:ascii="Times" w:hAnsi="Times" w:cs="Times New Roman"/>
      <w:sz w:val="20"/>
      <w:szCs w:val="20"/>
      <w:lang w:val="fr-BE"/>
    </w:rPr>
  </w:style>
  <w:style w:type="paragraph" w:styleId="En-tte">
    <w:name w:val="header"/>
    <w:basedOn w:val="Normal"/>
    <w:link w:val="En-tteCar"/>
    <w:uiPriority w:val="99"/>
    <w:unhideWhenUsed/>
    <w:rsid w:val="007E71E6"/>
    <w:pPr>
      <w:tabs>
        <w:tab w:val="center" w:pos="4536"/>
        <w:tab w:val="right" w:pos="9072"/>
      </w:tabs>
    </w:pPr>
  </w:style>
  <w:style w:type="character" w:customStyle="1" w:styleId="En-tteCar">
    <w:name w:val="En-tête Car"/>
    <w:basedOn w:val="Policepardfaut"/>
    <w:link w:val="En-tte"/>
    <w:uiPriority w:val="99"/>
    <w:rsid w:val="007E71E6"/>
  </w:style>
  <w:style w:type="paragraph" w:styleId="Pieddepage">
    <w:name w:val="footer"/>
    <w:basedOn w:val="Normal"/>
    <w:link w:val="PieddepageCar"/>
    <w:uiPriority w:val="99"/>
    <w:unhideWhenUsed/>
    <w:rsid w:val="007E71E6"/>
    <w:pPr>
      <w:tabs>
        <w:tab w:val="center" w:pos="4536"/>
        <w:tab w:val="right" w:pos="9072"/>
      </w:tabs>
    </w:pPr>
  </w:style>
  <w:style w:type="character" w:customStyle="1" w:styleId="PieddepageCar">
    <w:name w:val="Pied de page Car"/>
    <w:basedOn w:val="Policepardfaut"/>
    <w:link w:val="Pieddepage"/>
    <w:uiPriority w:val="99"/>
    <w:rsid w:val="007E71E6"/>
  </w:style>
  <w:style w:type="character" w:styleId="Lienhypertexte">
    <w:name w:val="Hyperlink"/>
    <w:basedOn w:val="Policepardfaut"/>
    <w:uiPriority w:val="99"/>
    <w:unhideWhenUsed/>
    <w:rsid w:val="00BC7381"/>
    <w:rPr>
      <w:color w:val="0000FF" w:themeColor="hyperlink"/>
      <w:u w:val="single"/>
    </w:rPr>
  </w:style>
  <w:style w:type="paragraph" w:styleId="Rvision">
    <w:name w:val="Revision"/>
    <w:hidden/>
    <w:uiPriority w:val="99"/>
    <w:semiHidden/>
    <w:rsid w:val="00BB35B6"/>
  </w:style>
  <w:style w:type="paragraph" w:styleId="Textedebulles">
    <w:name w:val="Balloon Text"/>
    <w:basedOn w:val="Normal"/>
    <w:link w:val="TextedebullesCar"/>
    <w:uiPriority w:val="99"/>
    <w:semiHidden/>
    <w:unhideWhenUsed/>
    <w:rsid w:val="00BB35B6"/>
    <w:rPr>
      <w:rFonts w:ascii="Lucida Grande" w:hAnsi="Lucida Grande"/>
      <w:sz w:val="18"/>
      <w:szCs w:val="18"/>
    </w:rPr>
  </w:style>
  <w:style w:type="character" w:customStyle="1" w:styleId="TextedebullesCar">
    <w:name w:val="Texte de bulles Car"/>
    <w:basedOn w:val="Policepardfaut"/>
    <w:link w:val="Textedebulles"/>
    <w:uiPriority w:val="99"/>
    <w:semiHidden/>
    <w:rsid w:val="00BB35B6"/>
    <w:rPr>
      <w:rFonts w:ascii="Lucida Grande" w:hAnsi="Lucida Grande"/>
      <w:sz w:val="18"/>
      <w:szCs w:val="18"/>
    </w:rPr>
  </w:style>
  <w:style w:type="character" w:styleId="Lienhypertextesuivi">
    <w:name w:val="FollowedHyperlink"/>
    <w:basedOn w:val="Policepardfaut"/>
    <w:uiPriority w:val="99"/>
    <w:semiHidden/>
    <w:unhideWhenUsed/>
    <w:rsid w:val="00127E1B"/>
    <w:rPr>
      <w:color w:val="800080" w:themeColor="followedHyperlink"/>
      <w:u w:val="single"/>
    </w:rPr>
  </w:style>
  <w:style w:type="character" w:customStyle="1" w:styleId="Titre1Car">
    <w:name w:val="Titre 1 Car"/>
    <w:basedOn w:val="Policepardfaut"/>
    <w:link w:val="Titre1"/>
    <w:rsid w:val="006A3458"/>
    <w:rPr>
      <w:rFonts w:ascii="Times New Roman" w:eastAsia="Times New Roman" w:hAnsi="Times New Roman" w:cs="Times New Roman"/>
      <w:b/>
      <w:caps/>
      <w:sz w:val="22"/>
      <w:szCs w:val="20"/>
    </w:rPr>
  </w:style>
  <w:style w:type="character" w:customStyle="1" w:styleId="Titre2Car">
    <w:name w:val="Titre 2 Car"/>
    <w:basedOn w:val="Policepardfaut"/>
    <w:link w:val="Titre2"/>
    <w:rsid w:val="006A3458"/>
    <w:rPr>
      <w:rFonts w:ascii="Times New Roman" w:eastAsia="Times New Roman" w:hAnsi="Times New Roman" w:cs="Times New Roman"/>
      <w:smallCaps/>
      <w:sz w:val="22"/>
      <w:szCs w:val="20"/>
    </w:rPr>
  </w:style>
  <w:style w:type="character" w:customStyle="1" w:styleId="Titre3Car">
    <w:name w:val="Titre 3 Car"/>
    <w:basedOn w:val="Policepardfaut"/>
    <w:link w:val="Titre3"/>
    <w:rsid w:val="006A3458"/>
    <w:rPr>
      <w:rFonts w:ascii="Times New Roman" w:eastAsia="Times New Roman" w:hAnsi="Times New Roman" w:cs="Times New Roman"/>
      <w:b/>
      <w:sz w:val="22"/>
      <w:szCs w:val="20"/>
    </w:rPr>
  </w:style>
  <w:style w:type="character" w:customStyle="1" w:styleId="Titre4Car">
    <w:name w:val="Titre 4 Car"/>
    <w:basedOn w:val="Policepardfaut"/>
    <w:link w:val="Titre4"/>
    <w:rsid w:val="006A3458"/>
    <w:rPr>
      <w:rFonts w:ascii="Times New Roman" w:eastAsia="Times New Roman" w:hAnsi="Times New Roman" w:cs="Times New Roman"/>
      <w:sz w:val="22"/>
      <w:szCs w:val="20"/>
    </w:rPr>
  </w:style>
  <w:style w:type="character" w:customStyle="1" w:styleId="Titre5Car">
    <w:name w:val="Titre 5 Car"/>
    <w:basedOn w:val="Policepardfaut"/>
    <w:link w:val="Titre5"/>
    <w:rsid w:val="006A3458"/>
    <w:rPr>
      <w:rFonts w:ascii="Times New Roman" w:eastAsia="Times New Roman" w:hAnsi="Times New Roman" w:cs="Times New Roman"/>
      <w:i/>
      <w:sz w:val="22"/>
      <w:szCs w:val="20"/>
    </w:rPr>
  </w:style>
  <w:style w:type="paragraph" w:styleId="Corpsdetexte">
    <w:name w:val="Body Text"/>
    <w:basedOn w:val="Normal"/>
    <w:link w:val="CorpsdetexteCar"/>
    <w:semiHidden/>
    <w:rsid w:val="006A3458"/>
    <w:pPr>
      <w:numPr>
        <w:ilvl w:val="5"/>
        <w:numId w:val="20"/>
      </w:numPr>
      <w:tabs>
        <w:tab w:val="clear" w:pos="360"/>
        <w:tab w:val="left" w:pos="720"/>
      </w:tabs>
      <w:spacing w:after="240"/>
      <w:jc w:val="both"/>
    </w:pPr>
    <w:rPr>
      <w:rFonts w:ascii="Times New Roman" w:eastAsia="Times New Roman" w:hAnsi="Times New Roman" w:cs="Times New Roman"/>
      <w:sz w:val="22"/>
      <w:szCs w:val="20"/>
    </w:rPr>
  </w:style>
  <w:style w:type="character" w:customStyle="1" w:styleId="CorpsdetexteCar">
    <w:name w:val="Corps de texte Car"/>
    <w:basedOn w:val="Policepardfaut"/>
    <w:link w:val="Corpsdetexte"/>
    <w:semiHidden/>
    <w:rsid w:val="006A3458"/>
    <w:rPr>
      <w:rFonts w:ascii="Times New Roman" w:eastAsia="Times New Roman" w:hAnsi="Times New Roman" w:cs="Times New Roman"/>
      <w:sz w:val="22"/>
      <w:szCs w:val="20"/>
    </w:rPr>
  </w:style>
  <w:style w:type="paragraph" w:styleId="Corpsdetexte2">
    <w:name w:val="Body Text 2"/>
    <w:basedOn w:val="Normal"/>
    <w:link w:val="Corpsdetexte2Car"/>
    <w:semiHidden/>
    <w:rsid w:val="006A3458"/>
    <w:pPr>
      <w:numPr>
        <w:ilvl w:val="6"/>
        <w:numId w:val="20"/>
      </w:numPr>
      <w:tabs>
        <w:tab w:val="left" w:pos="720"/>
      </w:tabs>
      <w:spacing w:after="240"/>
      <w:jc w:val="both"/>
    </w:pPr>
    <w:rPr>
      <w:rFonts w:ascii="Times New Roman" w:eastAsia="Times New Roman" w:hAnsi="Times New Roman" w:cs="Times New Roman"/>
      <w:sz w:val="22"/>
      <w:szCs w:val="20"/>
    </w:rPr>
  </w:style>
  <w:style w:type="character" w:customStyle="1" w:styleId="Corpsdetexte2Car">
    <w:name w:val="Corps de texte 2 Car"/>
    <w:basedOn w:val="Policepardfaut"/>
    <w:link w:val="Corpsdetexte2"/>
    <w:semiHidden/>
    <w:rsid w:val="006A3458"/>
    <w:rPr>
      <w:rFonts w:ascii="Times New Roman" w:eastAsia="Times New Roman" w:hAnsi="Times New Roman" w:cs="Times New Roman"/>
      <w:sz w:val="22"/>
      <w:szCs w:val="20"/>
    </w:rPr>
  </w:style>
  <w:style w:type="paragraph" w:styleId="Corpsdetexte3">
    <w:name w:val="Body Text 3"/>
    <w:basedOn w:val="Normal"/>
    <w:link w:val="Corpsdetexte3Car"/>
    <w:semiHidden/>
    <w:rsid w:val="006A3458"/>
    <w:pPr>
      <w:numPr>
        <w:ilvl w:val="7"/>
        <w:numId w:val="20"/>
      </w:numPr>
      <w:tabs>
        <w:tab w:val="left" w:pos="720"/>
      </w:tabs>
      <w:spacing w:after="240"/>
      <w:jc w:val="both"/>
    </w:pPr>
    <w:rPr>
      <w:rFonts w:ascii="Times New Roman" w:eastAsia="Times New Roman" w:hAnsi="Times New Roman" w:cs="Times New Roman"/>
      <w:sz w:val="22"/>
      <w:szCs w:val="20"/>
    </w:rPr>
  </w:style>
  <w:style w:type="character" w:customStyle="1" w:styleId="Corpsdetexte3Car">
    <w:name w:val="Corps de texte 3 Car"/>
    <w:basedOn w:val="Policepardfaut"/>
    <w:link w:val="Corpsdetexte3"/>
    <w:semiHidden/>
    <w:rsid w:val="006A3458"/>
    <w:rPr>
      <w:rFonts w:ascii="Times New Roman" w:eastAsia="Times New Roman" w:hAnsi="Times New Roman" w:cs="Times New Roman"/>
      <w:sz w:val="22"/>
      <w:szCs w:val="20"/>
    </w:rPr>
  </w:style>
  <w:style w:type="paragraph" w:customStyle="1" w:styleId="Corpsdetexte4">
    <w:name w:val="Corps de texte 4"/>
    <w:basedOn w:val="Normal"/>
    <w:rsid w:val="006A3458"/>
    <w:pPr>
      <w:numPr>
        <w:ilvl w:val="8"/>
        <w:numId w:val="20"/>
      </w:numPr>
      <w:tabs>
        <w:tab w:val="left" w:pos="720"/>
      </w:tabs>
      <w:spacing w:after="240"/>
      <w:jc w:val="both"/>
    </w:pPr>
    <w:rPr>
      <w:rFonts w:ascii="Times New Roman" w:eastAsia="Times New Roman" w:hAnsi="Times New Roman" w:cs="Times New Roman"/>
      <w:sz w:val="22"/>
      <w:szCs w:val="20"/>
    </w:rPr>
  </w:style>
  <w:style w:type="character" w:styleId="Numrodepage">
    <w:name w:val="page number"/>
    <w:basedOn w:val="Policepardfaut"/>
    <w:uiPriority w:val="99"/>
    <w:semiHidden/>
    <w:unhideWhenUsed/>
    <w:rsid w:val="00570190"/>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53AA"/>
  </w:style>
  <w:style w:type="paragraph" w:styleId="Titre1">
    <w:name w:val="heading 1"/>
    <w:basedOn w:val="Normal"/>
    <w:next w:val="Titre2"/>
    <w:link w:val="Titre1Car"/>
    <w:qFormat/>
    <w:rsid w:val="006A3458"/>
    <w:pPr>
      <w:keepNext/>
      <w:numPr>
        <w:numId w:val="20"/>
      </w:numPr>
      <w:tabs>
        <w:tab w:val="left" w:pos="720"/>
      </w:tabs>
      <w:spacing w:after="240"/>
      <w:jc w:val="both"/>
      <w:outlineLvl w:val="0"/>
    </w:pPr>
    <w:rPr>
      <w:rFonts w:ascii="Times New Roman" w:eastAsia="Times New Roman" w:hAnsi="Times New Roman" w:cs="Times New Roman"/>
      <w:b/>
      <w:caps/>
      <w:sz w:val="22"/>
      <w:szCs w:val="20"/>
    </w:rPr>
  </w:style>
  <w:style w:type="paragraph" w:styleId="Titre2">
    <w:name w:val="heading 2"/>
    <w:basedOn w:val="Normal"/>
    <w:next w:val="Titre3"/>
    <w:link w:val="Titre2Car"/>
    <w:qFormat/>
    <w:rsid w:val="006A3458"/>
    <w:pPr>
      <w:keepNext/>
      <w:numPr>
        <w:ilvl w:val="1"/>
        <w:numId w:val="20"/>
      </w:numPr>
      <w:tabs>
        <w:tab w:val="left" w:pos="720"/>
      </w:tabs>
      <w:spacing w:after="240"/>
      <w:jc w:val="both"/>
      <w:outlineLvl w:val="1"/>
    </w:pPr>
    <w:rPr>
      <w:rFonts w:ascii="Times New Roman" w:eastAsia="Times New Roman" w:hAnsi="Times New Roman" w:cs="Times New Roman"/>
      <w:smallCaps/>
      <w:sz w:val="22"/>
      <w:szCs w:val="20"/>
    </w:rPr>
  </w:style>
  <w:style w:type="paragraph" w:styleId="Titre3">
    <w:name w:val="heading 3"/>
    <w:basedOn w:val="Normal"/>
    <w:next w:val="Titre4"/>
    <w:link w:val="Titre3Car"/>
    <w:qFormat/>
    <w:rsid w:val="006A3458"/>
    <w:pPr>
      <w:keepNext/>
      <w:numPr>
        <w:ilvl w:val="2"/>
        <w:numId w:val="20"/>
      </w:numPr>
      <w:tabs>
        <w:tab w:val="left" w:pos="720"/>
      </w:tabs>
      <w:spacing w:after="240"/>
      <w:jc w:val="both"/>
      <w:outlineLvl w:val="2"/>
    </w:pPr>
    <w:rPr>
      <w:rFonts w:ascii="Times New Roman" w:eastAsia="Times New Roman" w:hAnsi="Times New Roman" w:cs="Times New Roman"/>
      <w:b/>
      <w:sz w:val="22"/>
      <w:szCs w:val="20"/>
    </w:rPr>
  </w:style>
  <w:style w:type="paragraph" w:styleId="Titre4">
    <w:name w:val="heading 4"/>
    <w:basedOn w:val="Normal"/>
    <w:next w:val="Titre5"/>
    <w:link w:val="Titre4Car"/>
    <w:qFormat/>
    <w:rsid w:val="006A3458"/>
    <w:pPr>
      <w:keepNext/>
      <w:numPr>
        <w:ilvl w:val="3"/>
        <w:numId w:val="20"/>
      </w:numPr>
      <w:tabs>
        <w:tab w:val="left" w:pos="720"/>
      </w:tabs>
      <w:spacing w:after="240"/>
      <w:jc w:val="both"/>
      <w:outlineLvl w:val="3"/>
    </w:pPr>
    <w:rPr>
      <w:rFonts w:ascii="Times New Roman" w:eastAsia="Times New Roman" w:hAnsi="Times New Roman" w:cs="Times New Roman"/>
      <w:sz w:val="22"/>
      <w:szCs w:val="20"/>
    </w:rPr>
  </w:style>
  <w:style w:type="paragraph" w:styleId="Titre5">
    <w:name w:val="heading 5"/>
    <w:basedOn w:val="Normal"/>
    <w:next w:val="Corpsdetexte"/>
    <w:link w:val="Titre5Car"/>
    <w:qFormat/>
    <w:rsid w:val="006A3458"/>
    <w:pPr>
      <w:keepNext/>
      <w:numPr>
        <w:ilvl w:val="4"/>
        <w:numId w:val="20"/>
      </w:numPr>
      <w:tabs>
        <w:tab w:val="left" w:pos="720"/>
      </w:tabs>
      <w:spacing w:after="240"/>
      <w:jc w:val="both"/>
      <w:outlineLvl w:val="4"/>
    </w:pPr>
    <w:rPr>
      <w:rFonts w:ascii="Times New Roman" w:eastAsia="Times New Roman" w:hAnsi="Times New Roman" w:cs="Times New Roman"/>
      <w:i/>
      <w:sz w:val="22"/>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8953AA"/>
  </w:style>
  <w:style w:type="character" w:customStyle="1" w:styleId="NotedebasdepageCar">
    <w:name w:val="Note de bas de page Car"/>
    <w:basedOn w:val="Policepardfaut"/>
    <w:link w:val="Notedebasdepage"/>
    <w:uiPriority w:val="99"/>
    <w:rsid w:val="008953AA"/>
  </w:style>
  <w:style w:type="character" w:styleId="Marquenotebasdepage">
    <w:name w:val="footnote reference"/>
    <w:basedOn w:val="Policepardfaut"/>
    <w:uiPriority w:val="99"/>
    <w:unhideWhenUsed/>
    <w:rsid w:val="008953AA"/>
    <w:rPr>
      <w:vertAlign w:val="superscript"/>
    </w:rPr>
  </w:style>
  <w:style w:type="paragraph" w:styleId="Paragraphedeliste">
    <w:name w:val="List Paragraph"/>
    <w:basedOn w:val="Normal"/>
    <w:uiPriority w:val="34"/>
    <w:qFormat/>
    <w:rsid w:val="008953AA"/>
    <w:pPr>
      <w:ind w:left="720"/>
      <w:contextualSpacing/>
    </w:pPr>
  </w:style>
  <w:style w:type="paragraph" w:styleId="NormalWeb">
    <w:name w:val="Normal (Web)"/>
    <w:basedOn w:val="Normal"/>
    <w:uiPriority w:val="99"/>
    <w:unhideWhenUsed/>
    <w:rsid w:val="00BA05A5"/>
    <w:pPr>
      <w:spacing w:before="100" w:beforeAutospacing="1" w:after="100" w:afterAutospacing="1"/>
    </w:pPr>
    <w:rPr>
      <w:rFonts w:ascii="Times" w:hAnsi="Times" w:cs="Times New Roman"/>
      <w:sz w:val="20"/>
      <w:szCs w:val="20"/>
      <w:lang w:val="fr-BE"/>
    </w:rPr>
  </w:style>
  <w:style w:type="paragraph" w:styleId="En-tte">
    <w:name w:val="header"/>
    <w:basedOn w:val="Normal"/>
    <w:link w:val="En-tteCar"/>
    <w:uiPriority w:val="99"/>
    <w:unhideWhenUsed/>
    <w:rsid w:val="007E71E6"/>
    <w:pPr>
      <w:tabs>
        <w:tab w:val="center" w:pos="4536"/>
        <w:tab w:val="right" w:pos="9072"/>
      </w:tabs>
    </w:pPr>
  </w:style>
  <w:style w:type="character" w:customStyle="1" w:styleId="En-tteCar">
    <w:name w:val="En-tête Car"/>
    <w:basedOn w:val="Policepardfaut"/>
    <w:link w:val="En-tte"/>
    <w:uiPriority w:val="99"/>
    <w:rsid w:val="007E71E6"/>
  </w:style>
  <w:style w:type="paragraph" w:styleId="Pieddepage">
    <w:name w:val="footer"/>
    <w:basedOn w:val="Normal"/>
    <w:link w:val="PieddepageCar"/>
    <w:uiPriority w:val="99"/>
    <w:unhideWhenUsed/>
    <w:rsid w:val="007E71E6"/>
    <w:pPr>
      <w:tabs>
        <w:tab w:val="center" w:pos="4536"/>
        <w:tab w:val="right" w:pos="9072"/>
      </w:tabs>
    </w:pPr>
  </w:style>
  <w:style w:type="character" w:customStyle="1" w:styleId="PieddepageCar">
    <w:name w:val="Pied de page Car"/>
    <w:basedOn w:val="Policepardfaut"/>
    <w:link w:val="Pieddepage"/>
    <w:uiPriority w:val="99"/>
    <w:rsid w:val="007E71E6"/>
  </w:style>
  <w:style w:type="character" w:styleId="Lienhypertexte">
    <w:name w:val="Hyperlink"/>
    <w:basedOn w:val="Policepardfaut"/>
    <w:uiPriority w:val="99"/>
    <w:unhideWhenUsed/>
    <w:rsid w:val="00BC7381"/>
    <w:rPr>
      <w:color w:val="0000FF" w:themeColor="hyperlink"/>
      <w:u w:val="single"/>
    </w:rPr>
  </w:style>
  <w:style w:type="paragraph" w:styleId="Rvision">
    <w:name w:val="Revision"/>
    <w:hidden/>
    <w:uiPriority w:val="99"/>
    <w:semiHidden/>
    <w:rsid w:val="00BB35B6"/>
  </w:style>
  <w:style w:type="paragraph" w:styleId="Textedebulles">
    <w:name w:val="Balloon Text"/>
    <w:basedOn w:val="Normal"/>
    <w:link w:val="TextedebullesCar"/>
    <w:uiPriority w:val="99"/>
    <w:semiHidden/>
    <w:unhideWhenUsed/>
    <w:rsid w:val="00BB35B6"/>
    <w:rPr>
      <w:rFonts w:ascii="Lucida Grande" w:hAnsi="Lucida Grande"/>
      <w:sz w:val="18"/>
      <w:szCs w:val="18"/>
    </w:rPr>
  </w:style>
  <w:style w:type="character" w:customStyle="1" w:styleId="TextedebullesCar">
    <w:name w:val="Texte de bulles Car"/>
    <w:basedOn w:val="Policepardfaut"/>
    <w:link w:val="Textedebulles"/>
    <w:uiPriority w:val="99"/>
    <w:semiHidden/>
    <w:rsid w:val="00BB35B6"/>
    <w:rPr>
      <w:rFonts w:ascii="Lucida Grande" w:hAnsi="Lucida Grande"/>
      <w:sz w:val="18"/>
      <w:szCs w:val="18"/>
    </w:rPr>
  </w:style>
  <w:style w:type="character" w:styleId="Lienhypertextesuivi">
    <w:name w:val="FollowedHyperlink"/>
    <w:basedOn w:val="Policepardfaut"/>
    <w:uiPriority w:val="99"/>
    <w:semiHidden/>
    <w:unhideWhenUsed/>
    <w:rsid w:val="00127E1B"/>
    <w:rPr>
      <w:color w:val="800080" w:themeColor="followedHyperlink"/>
      <w:u w:val="single"/>
    </w:rPr>
  </w:style>
  <w:style w:type="character" w:customStyle="1" w:styleId="Titre1Car">
    <w:name w:val="Titre 1 Car"/>
    <w:basedOn w:val="Policepardfaut"/>
    <w:link w:val="Titre1"/>
    <w:rsid w:val="006A3458"/>
    <w:rPr>
      <w:rFonts w:ascii="Times New Roman" w:eastAsia="Times New Roman" w:hAnsi="Times New Roman" w:cs="Times New Roman"/>
      <w:b/>
      <w:caps/>
      <w:sz w:val="22"/>
      <w:szCs w:val="20"/>
    </w:rPr>
  </w:style>
  <w:style w:type="character" w:customStyle="1" w:styleId="Titre2Car">
    <w:name w:val="Titre 2 Car"/>
    <w:basedOn w:val="Policepardfaut"/>
    <w:link w:val="Titre2"/>
    <w:rsid w:val="006A3458"/>
    <w:rPr>
      <w:rFonts w:ascii="Times New Roman" w:eastAsia="Times New Roman" w:hAnsi="Times New Roman" w:cs="Times New Roman"/>
      <w:smallCaps/>
      <w:sz w:val="22"/>
      <w:szCs w:val="20"/>
    </w:rPr>
  </w:style>
  <w:style w:type="character" w:customStyle="1" w:styleId="Titre3Car">
    <w:name w:val="Titre 3 Car"/>
    <w:basedOn w:val="Policepardfaut"/>
    <w:link w:val="Titre3"/>
    <w:rsid w:val="006A3458"/>
    <w:rPr>
      <w:rFonts w:ascii="Times New Roman" w:eastAsia="Times New Roman" w:hAnsi="Times New Roman" w:cs="Times New Roman"/>
      <w:b/>
      <w:sz w:val="22"/>
      <w:szCs w:val="20"/>
    </w:rPr>
  </w:style>
  <w:style w:type="character" w:customStyle="1" w:styleId="Titre4Car">
    <w:name w:val="Titre 4 Car"/>
    <w:basedOn w:val="Policepardfaut"/>
    <w:link w:val="Titre4"/>
    <w:rsid w:val="006A3458"/>
    <w:rPr>
      <w:rFonts w:ascii="Times New Roman" w:eastAsia="Times New Roman" w:hAnsi="Times New Roman" w:cs="Times New Roman"/>
      <w:sz w:val="22"/>
      <w:szCs w:val="20"/>
    </w:rPr>
  </w:style>
  <w:style w:type="character" w:customStyle="1" w:styleId="Titre5Car">
    <w:name w:val="Titre 5 Car"/>
    <w:basedOn w:val="Policepardfaut"/>
    <w:link w:val="Titre5"/>
    <w:rsid w:val="006A3458"/>
    <w:rPr>
      <w:rFonts w:ascii="Times New Roman" w:eastAsia="Times New Roman" w:hAnsi="Times New Roman" w:cs="Times New Roman"/>
      <w:i/>
      <w:sz w:val="22"/>
      <w:szCs w:val="20"/>
    </w:rPr>
  </w:style>
  <w:style w:type="paragraph" w:styleId="Corpsdetexte">
    <w:name w:val="Body Text"/>
    <w:basedOn w:val="Normal"/>
    <w:link w:val="CorpsdetexteCar"/>
    <w:semiHidden/>
    <w:rsid w:val="006A3458"/>
    <w:pPr>
      <w:numPr>
        <w:ilvl w:val="5"/>
        <w:numId w:val="20"/>
      </w:numPr>
      <w:tabs>
        <w:tab w:val="clear" w:pos="360"/>
        <w:tab w:val="left" w:pos="720"/>
      </w:tabs>
      <w:spacing w:after="240"/>
      <w:jc w:val="both"/>
    </w:pPr>
    <w:rPr>
      <w:rFonts w:ascii="Times New Roman" w:eastAsia="Times New Roman" w:hAnsi="Times New Roman" w:cs="Times New Roman"/>
      <w:sz w:val="22"/>
      <w:szCs w:val="20"/>
    </w:rPr>
  </w:style>
  <w:style w:type="character" w:customStyle="1" w:styleId="CorpsdetexteCar">
    <w:name w:val="Corps de texte Car"/>
    <w:basedOn w:val="Policepardfaut"/>
    <w:link w:val="Corpsdetexte"/>
    <w:semiHidden/>
    <w:rsid w:val="006A3458"/>
    <w:rPr>
      <w:rFonts w:ascii="Times New Roman" w:eastAsia="Times New Roman" w:hAnsi="Times New Roman" w:cs="Times New Roman"/>
      <w:sz w:val="22"/>
      <w:szCs w:val="20"/>
    </w:rPr>
  </w:style>
  <w:style w:type="paragraph" w:styleId="Corpsdetexte2">
    <w:name w:val="Body Text 2"/>
    <w:basedOn w:val="Normal"/>
    <w:link w:val="Corpsdetexte2Car"/>
    <w:semiHidden/>
    <w:rsid w:val="006A3458"/>
    <w:pPr>
      <w:numPr>
        <w:ilvl w:val="6"/>
        <w:numId w:val="20"/>
      </w:numPr>
      <w:tabs>
        <w:tab w:val="left" w:pos="720"/>
      </w:tabs>
      <w:spacing w:after="240"/>
      <w:jc w:val="both"/>
    </w:pPr>
    <w:rPr>
      <w:rFonts w:ascii="Times New Roman" w:eastAsia="Times New Roman" w:hAnsi="Times New Roman" w:cs="Times New Roman"/>
      <w:sz w:val="22"/>
      <w:szCs w:val="20"/>
    </w:rPr>
  </w:style>
  <w:style w:type="character" w:customStyle="1" w:styleId="Corpsdetexte2Car">
    <w:name w:val="Corps de texte 2 Car"/>
    <w:basedOn w:val="Policepardfaut"/>
    <w:link w:val="Corpsdetexte2"/>
    <w:semiHidden/>
    <w:rsid w:val="006A3458"/>
    <w:rPr>
      <w:rFonts w:ascii="Times New Roman" w:eastAsia="Times New Roman" w:hAnsi="Times New Roman" w:cs="Times New Roman"/>
      <w:sz w:val="22"/>
      <w:szCs w:val="20"/>
    </w:rPr>
  </w:style>
  <w:style w:type="paragraph" w:styleId="Corpsdetexte3">
    <w:name w:val="Body Text 3"/>
    <w:basedOn w:val="Normal"/>
    <w:link w:val="Corpsdetexte3Car"/>
    <w:semiHidden/>
    <w:rsid w:val="006A3458"/>
    <w:pPr>
      <w:numPr>
        <w:ilvl w:val="7"/>
        <w:numId w:val="20"/>
      </w:numPr>
      <w:tabs>
        <w:tab w:val="left" w:pos="720"/>
      </w:tabs>
      <w:spacing w:after="240"/>
      <w:jc w:val="both"/>
    </w:pPr>
    <w:rPr>
      <w:rFonts w:ascii="Times New Roman" w:eastAsia="Times New Roman" w:hAnsi="Times New Roman" w:cs="Times New Roman"/>
      <w:sz w:val="22"/>
      <w:szCs w:val="20"/>
    </w:rPr>
  </w:style>
  <w:style w:type="character" w:customStyle="1" w:styleId="Corpsdetexte3Car">
    <w:name w:val="Corps de texte 3 Car"/>
    <w:basedOn w:val="Policepardfaut"/>
    <w:link w:val="Corpsdetexte3"/>
    <w:semiHidden/>
    <w:rsid w:val="006A3458"/>
    <w:rPr>
      <w:rFonts w:ascii="Times New Roman" w:eastAsia="Times New Roman" w:hAnsi="Times New Roman" w:cs="Times New Roman"/>
      <w:sz w:val="22"/>
      <w:szCs w:val="20"/>
    </w:rPr>
  </w:style>
  <w:style w:type="paragraph" w:customStyle="1" w:styleId="Corpsdetexte4">
    <w:name w:val="Corps de texte 4"/>
    <w:basedOn w:val="Normal"/>
    <w:rsid w:val="006A3458"/>
    <w:pPr>
      <w:numPr>
        <w:ilvl w:val="8"/>
        <w:numId w:val="20"/>
      </w:numPr>
      <w:tabs>
        <w:tab w:val="left" w:pos="720"/>
      </w:tabs>
      <w:spacing w:after="240"/>
      <w:jc w:val="both"/>
    </w:pPr>
    <w:rPr>
      <w:rFonts w:ascii="Times New Roman" w:eastAsia="Times New Roman" w:hAnsi="Times New Roman" w:cs="Times New Roman"/>
      <w:sz w:val="22"/>
      <w:szCs w:val="20"/>
    </w:rPr>
  </w:style>
  <w:style w:type="character" w:styleId="Numrodepage">
    <w:name w:val="page number"/>
    <w:basedOn w:val="Policepardfaut"/>
    <w:uiPriority w:val="99"/>
    <w:semiHidden/>
    <w:unhideWhenUsed/>
    <w:rsid w:val="005701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8865253">
      <w:bodyDiv w:val="1"/>
      <w:marLeft w:val="0"/>
      <w:marRight w:val="0"/>
      <w:marTop w:val="0"/>
      <w:marBottom w:val="0"/>
      <w:divBdr>
        <w:top w:val="none" w:sz="0" w:space="0" w:color="auto"/>
        <w:left w:val="none" w:sz="0" w:space="0" w:color="auto"/>
        <w:bottom w:val="none" w:sz="0" w:space="0" w:color="auto"/>
        <w:right w:val="none" w:sz="0" w:space="0" w:color="auto"/>
      </w:divBdr>
      <w:divsChild>
        <w:div w:id="159276509">
          <w:marLeft w:val="0"/>
          <w:marRight w:val="0"/>
          <w:marTop w:val="0"/>
          <w:marBottom w:val="0"/>
          <w:divBdr>
            <w:top w:val="none" w:sz="0" w:space="0" w:color="auto"/>
            <w:left w:val="none" w:sz="0" w:space="0" w:color="auto"/>
            <w:bottom w:val="none" w:sz="0" w:space="0" w:color="auto"/>
            <w:right w:val="none" w:sz="0" w:space="0" w:color="auto"/>
          </w:divBdr>
          <w:divsChild>
            <w:div w:id="685327281">
              <w:marLeft w:val="0"/>
              <w:marRight w:val="0"/>
              <w:marTop w:val="0"/>
              <w:marBottom w:val="0"/>
              <w:divBdr>
                <w:top w:val="none" w:sz="0" w:space="0" w:color="auto"/>
                <w:left w:val="none" w:sz="0" w:space="0" w:color="auto"/>
                <w:bottom w:val="none" w:sz="0" w:space="0" w:color="auto"/>
                <w:right w:val="none" w:sz="0" w:space="0" w:color="auto"/>
              </w:divBdr>
              <w:divsChild>
                <w:div w:id="611129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fr.wikipedia.org/wiki/GATT" TargetMode="External"/><Relationship Id="rId12" Type="http://schemas.openxmlformats.org/officeDocument/2006/relationships/hyperlink" Target="http://fr.wikipedia.org/wiki/OMC" TargetMode="External"/><Relationship Id="rId13" Type="http://schemas.openxmlformats.org/officeDocument/2006/relationships/footer" Target="footer1.xml"/><Relationship Id="rId14" Type="http://schemas.openxmlformats.org/officeDocument/2006/relationships/footer" Target="footer2.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md.ucl.ac.be/didac/physique/didacphys/start/start.html" TargetMode="External"/><Relationship Id="rId9" Type="http://schemas.openxmlformats.org/officeDocument/2006/relationships/image" Target="media/image1.jpeg"/><Relationship Id="rId10" Type="http://schemas.openxmlformats.org/officeDocument/2006/relationships/hyperlink" Target="http://fr.wikipedia.org/wiki/Exportation"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ecampus.wto.org/admin/files/Course_412/Module_726/ModuleDocuments/GATS-M2-R1-F.pdf" TargetMode="External"/><Relationship Id="rId4" Type="http://schemas.openxmlformats.org/officeDocument/2006/relationships/hyperlink" Target="https://www.wto.org/french/thewto_f/whatis_f/tif_f/understanding_f.doc" TargetMode="External"/><Relationship Id="rId5" Type="http://schemas.openxmlformats.org/officeDocument/2006/relationships/hyperlink" Target="https://www.wto.org/french/tratoP_f/envir_f/envt_rules_exceptions_f.hGm" TargetMode="External"/><Relationship Id="rId6" Type="http://schemas.openxmlformats.org/officeDocument/2006/relationships/hyperlink" Target="https://www.wto.org/french/tratop_f/envir_f/edis03_f.htm" TargetMode="External"/><Relationship Id="rId7" Type="http://schemas.openxmlformats.org/officeDocument/2006/relationships/hyperlink" Target="https://www.wto.org/french/tratop_f/dispu_f/cases_f/ds26_f.htm" TargetMode="External"/><Relationship Id="rId8" Type="http://schemas.openxmlformats.org/officeDocument/2006/relationships/hyperlink" Target="https://www.wto.org/french/tratop_f/dispu_f/cases_f/ds48_f.htm" TargetMode="External"/><Relationship Id="rId1" Type="http://schemas.openxmlformats.org/officeDocument/2006/relationships/hyperlink" Target="http://www.ochres.org/83_p_28101/libre-echange-ou-protectionnisme.html" TargetMode="External"/><Relationship Id="rId2" Type="http://schemas.openxmlformats.org/officeDocument/2006/relationships/hyperlink" Target="https://ecampus.wto.org/admin/files/Course_412/Module_726/ModuleDocuments/GATS-M2-R1-F.pdf" TargetMode="Externa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2510</TotalTime>
  <Pages>77</Pages>
  <Words>23091</Words>
  <Characters>127006</Characters>
  <Application>Microsoft Macintosh Word</Application>
  <DocSecurity>0</DocSecurity>
  <Lines>1058</Lines>
  <Paragraphs>299</Paragraphs>
  <ScaleCrop>false</ScaleCrop>
  <Company/>
  <LinksUpToDate>false</LinksUpToDate>
  <CharactersWithSpaces>149798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Jakobs</dc:creator>
  <cp:keywords/>
  <dc:description/>
  <cp:lastModifiedBy>Laura Jakobs</cp:lastModifiedBy>
  <cp:revision>144</cp:revision>
  <cp:lastPrinted>2015-08-11T09:26:00Z</cp:lastPrinted>
  <dcterms:created xsi:type="dcterms:W3CDTF">2015-07-30T16:44:00Z</dcterms:created>
  <dcterms:modified xsi:type="dcterms:W3CDTF">2015-08-11T15:19:00Z</dcterms:modified>
</cp:coreProperties>
</file>